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117F" w14:textId="77777777" w:rsidR="00F05070" w:rsidRPr="00DD0954" w:rsidRDefault="00F05070" w:rsidP="00F05070">
      <w:pPr>
        <w:rPr>
          <w:rFonts w:ascii="Times New Roman" w:hAnsi="Times New Roman"/>
          <w:b/>
          <w: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205"/>
        <w:gridCol w:w="1836"/>
      </w:tblGrid>
      <w:tr w:rsidR="00F05070" w14:paraId="059F0574" w14:textId="77777777" w:rsidTr="001F30CE">
        <w:trPr>
          <w:trHeight w:val="1964"/>
        </w:trPr>
        <w:tc>
          <w:tcPr>
            <w:tcW w:w="1975" w:type="dxa"/>
            <w:hideMark/>
          </w:tcPr>
          <w:p w14:paraId="3F010F0D" w14:textId="77777777" w:rsidR="00F05070" w:rsidRDefault="00F05070" w:rsidP="001F30CE">
            <w:r>
              <w:rPr>
                <w:rFonts w:ascii="Times New Roman" w:hAnsi="Times New Roman"/>
                <w:b/>
                <w:noProof/>
                <w:color w:val="7F7F7F"/>
                <w:sz w:val="24"/>
                <w:szCs w:val="24"/>
              </w:rPr>
              <w:drawing>
                <wp:inline distT="0" distB="0" distL="0" distR="0" wp14:anchorId="3BD86547" wp14:editId="77B22E2E">
                  <wp:extent cx="1038225" cy="1076325"/>
                  <wp:effectExtent l="0" t="0" r="9525" b="9525"/>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_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1076325"/>
                          </a:xfrm>
                          <a:prstGeom prst="rect">
                            <a:avLst/>
                          </a:prstGeom>
                          <a:noFill/>
                          <a:ln>
                            <a:noFill/>
                          </a:ln>
                        </pic:spPr>
                      </pic:pic>
                    </a:graphicData>
                  </a:graphic>
                </wp:inline>
              </w:drawing>
            </w:r>
          </w:p>
        </w:tc>
        <w:tc>
          <w:tcPr>
            <w:tcW w:w="5205" w:type="dxa"/>
          </w:tcPr>
          <w:p w14:paraId="26AB3E5D" w14:textId="77777777" w:rsidR="00F05070" w:rsidRDefault="00F05070" w:rsidP="001F30CE">
            <w:pPr>
              <w:jc w:val="center"/>
            </w:pPr>
            <w:r>
              <w:rPr>
                <w:rFonts w:ascii="Calibri" w:hAnsi="Calibri"/>
                <w:b/>
                <w:color w:val="000000"/>
                <w:sz w:val="26"/>
              </w:rPr>
              <w:t>REPUBLIKA E KOSOVËS</w:t>
            </w:r>
          </w:p>
          <w:p w14:paraId="12844B0F" w14:textId="77777777" w:rsidR="00F05070" w:rsidRDefault="00F05070" w:rsidP="001F30CE">
            <w:pPr>
              <w:jc w:val="center"/>
            </w:pPr>
            <w:r>
              <w:rPr>
                <w:rFonts w:ascii="Calibri" w:hAnsi="Calibri"/>
                <w:color w:val="3C3C3C"/>
              </w:rPr>
              <w:t>REPUBLIKA KOSOVA – REPUBLIC OF KOSOVO</w:t>
            </w:r>
          </w:p>
          <w:p w14:paraId="784026AF" w14:textId="77777777" w:rsidR="00F05070" w:rsidRDefault="00F05070" w:rsidP="001F30CE">
            <w:pPr>
              <w:jc w:val="center"/>
            </w:pPr>
          </w:p>
          <w:p w14:paraId="5018F62B" w14:textId="77777777" w:rsidR="00F05070" w:rsidRDefault="00F05070" w:rsidP="001F30CE">
            <w:pPr>
              <w:jc w:val="center"/>
            </w:pPr>
            <w:r>
              <w:rPr>
                <w:rFonts w:ascii="Calibri" w:hAnsi="Calibri"/>
                <w:b/>
                <w:color w:val="000000"/>
                <w:sz w:val="26"/>
              </w:rPr>
              <w:t>KOMUNA E KAÇANIKUT</w:t>
            </w:r>
          </w:p>
          <w:p w14:paraId="68A8AD5B" w14:textId="77777777" w:rsidR="00F05070" w:rsidRDefault="00F05070" w:rsidP="001F30CE">
            <w:pPr>
              <w:jc w:val="center"/>
            </w:pPr>
            <w:r>
              <w:rPr>
                <w:rFonts w:ascii="Calibri" w:hAnsi="Calibri"/>
                <w:color w:val="3C3C3C"/>
              </w:rPr>
              <w:t>OPŠTINA KAČANIK – MUNICIPALITY OF KAÇANIK</w:t>
            </w:r>
          </w:p>
          <w:p w14:paraId="2A0F5ED1" w14:textId="77777777" w:rsidR="00F05070" w:rsidRPr="00132D61" w:rsidRDefault="00F05070" w:rsidP="001F30CE">
            <w:pPr>
              <w:jc w:val="center"/>
              <w:rPr>
                <w:rFonts w:ascii="Times New Roman" w:hAnsi="Times New Roman"/>
                <w:b/>
                <w:sz w:val="24"/>
              </w:rPr>
            </w:pPr>
          </w:p>
        </w:tc>
        <w:tc>
          <w:tcPr>
            <w:tcW w:w="1836" w:type="dxa"/>
            <w:hideMark/>
          </w:tcPr>
          <w:p w14:paraId="2AB53AD7" w14:textId="77777777" w:rsidR="00F05070" w:rsidRDefault="00F05070" w:rsidP="001F30CE">
            <w:pPr>
              <w:jc w:val="right"/>
            </w:pPr>
            <w:r>
              <w:rPr>
                <w:rFonts w:ascii="Times New Roman" w:hAnsi="Times New Roman"/>
                <w:b/>
                <w:noProof/>
                <w:color w:val="7F7F7F"/>
                <w:sz w:val="24"/>
                <w:szCs w:val="24"/>
              </w:rPr>
              <w:drawing>
                <wp:inline distT="0" distB="0" distL="0" distR="0" wp14:anchorId="09A28F4E" wp14:editId="3C6048BA">
                  <wp:extent cx="1028700" cy="1152525"/>
                  <wp:effectExtent l="0" t="0" r="0" b="9525"/>
                  <wp:docPr id="4" name="Picture 4" descr="korniza e amblemës origji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rniza e amblemës origjin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c>
      </w:tr>
    </w:tbl>
    <w:p w14:paraId="40A0E139" w14:textId="77777777" w:rsidR="00F05070" w:rsidRDefault="00F05070" w:rsidP="00F05070">
      <w:pPr>
        <w:spacing w:after="0" w:line="240" w:lineRule="auto"/>
        <w:jc w:val="center"/>
      </w:pPr>
    </w:p>
    <w:p w14:paraId="76ED1661" w14:textId="77777777" w:rsidR="00F05070" w:rsidRDefault="00F05070" w:rsidP="00F05070">
      <w:pPr>
        <w:spacing w:after="0" w:line="240" w:lineRule="auto"/>
        <w:jc w:val="center"/>
      </w:pPr>
    </w:p>
    <w:p w14:paraId="00807CCE" w14:textId="77777777" w:rsidR="00F05070" w:rsidRDefault="00F05070" w:rsidP="00F05070">
      <w:pPr>
        <w:spacing w:after="0" w:line="240" w:lineRule="auto"/>
        <w:jc w:val="center"/>
      </w:pPr>
    </w:p>
    <w:p w14:paraId="5C409E29" w14:textId="77777777" w:rsidR="00F05070" w:rsidRDefault="00F05070" w:rsidP="00F05070">
      <w:pPr>
        <w:spacing w:after="0" w:line="240" w:lineRule="auto"/>
        <w:jc w:val="center"/>
      </w:pPr>
    </w:p>
    <w:p w14:paraId="360074FF" w14:textId="77777777" w:rsidR="00F05070" w:rsidRPr="00412D14" w:rsidRDefault="00F05070" w:rsidP="00F05070">
      <w:pPr>
        <w:spacing w:after="60" w:line="240" w:lineRule="auto"/>
        <w:jc w:val="center"/>
        <w:rPr>
          <w:sz w:val="28"/>
          <w:szCs w:val="28"/>
        </w:rPr>
      </w:pPr>
      <w:r w:rsidRPr="00412D14">
        <w:rPr>
          <w:rFonts w:ascii="Calibri" w:hAnsi="Calibri"/>
          <w:b/>
          <w:color w:val="000000"/>
          <w:sz w:val="48"/>
          <w:szCs w:val="28"/>
        </w:rPr>
        <w:t>RAPORTI TREMUJOR FINANCIAR</w:t>
      </w:r>
    </w:p>
    <w:p w14:paraId="4A95215E" w14:textId="77777777" w:rsidR="00F05070" w:rsidRPr="00412D14" w:rsidRDefault="00F05070" w:rsidP="00F05070">
      <w:pPr>
        <w:spacing w:after="60" w:line="240" w:lineRule="auto"/>
        <w:jc w:val="center"/>
        <w:rPr>
          <w:sz w:val="28"/>
          <w:szCs w:val="28"/>
        </w:rPr>
      </w:pPr>
      <w:r w:rsidRPr="00412D14">
        <w:rPr>
          <w:rFonts w:ascii="Calibri" w:hAnsi="Calibri"/>
          <w:b/>
          <w:color w:val="1F4E79"/>
          <w:sz w:val="40"/>
          <w:szCs w:val="28"/>
        </w:rPr>
        <w:t>TM1 2026</w:t>
      </w:r>
    </w:p>
    <w:p w14:paraId="562DFEF8" w14:textId="77777777" w:rsidR="00F05070" w:rsidRPr="00412D14" w:rsidRDefault="00F05070" w:rsidP="00F05070">
      <w:pPr>
        <w:spacing w:after="60" w:line="240" w:lineRule="auto"/>
        <w:jc w:val="center"/>
        <w:rPr>
          <w:sz w:val="28"/>
          <w:szCs w:val="28"/>
        </w:rPr>
      </w:pPr>
      <w:r w:rsidRPr="00412D14">
        <w:rPr>
          <w:rFonts w:ascii="Calibri" w:hAnsi="Calibri"/>
          <w:color w:val="464646"/>
          <w:sz w:val="32"/>
          <w:szCs w:val="28"/>
        </w:rPr>
        <w:t>Për periudhën 01 Janar 2026 – 31 Mars 2026</w:t>
      </w:r>
    </w:p>
    <w:p w14:paraId="3D9B588B" w14:textId="77777777" w:rsidR="00F05070" w:rsidRPr="00412D14" w:rsidRDefault="00F05070" w:rsidP="00F05070">
      <w:pPr>
        <w:spacing w:after="0" w:line="240" w:lineRule="auto"/>
        <w:jc w:val="center"/>
        <w:rPr>
          <w:sz w:val="28"/>
          <w:szCs w:val="28"/>
        </w:rPr>
      </w:pPr>
    </w:p>
    <w:p w14:paraId="0BA0AE48" w14:textId="77777777" w:rsidR="00F05070" w:rsidRPr="00412D14" w:rsidRDefault="00F05070" w:rsidP="00F05070">
      <w:pPr>
        <w:spacing w:after="0" w:line="240" w:lineRule="auto"/>
        <w:jc w:val="center"/>
        <w:rPr>
          <w:sz w:val="28"/>
          <w:szCs w:val="28"/>
        </w:rPr>
      </w:pPr>
    </w:p>
    <w:p w14:paraId="2E4AB535" w14:textId="77777777" w:rsidR="00F05070" w:rsidRPr="00412D14" w:rsidRDefault="00F05070" w:rsidP="00F05070">
      <w:pPr>
        <w:spacing w:after="0" w:line="240" w:lineRule="auto"/>
        <w:jc w:val="center"/>
        <w:rPr>
          <w:sz w:val="28"/>
          <w:szCs w:val="28"/>
        </w:rPr>
      </w:pPr>
    </w:p>
    <w:p w14:paraId="03167CD0" w14:textId="77777777" w:rsidR="00F05070" w:rsidRPr="00412D14" w:rsidRDefault="00F05070" w:rsidP="00F05070">
      <w:pPr>
        <w:spacing w:after="0" w:line="240" w:lineRule="auto"/>
        <w:jc w:val="center"/>
        <w:rPr>
          <w:sz w:val="28"/>
          <w:szCs w:val="28"/>
        </w:rPr>
      </w:pPr>
    </w:p>
    <w:p w14:paraId="10BEE0C7" w14:textId="77777777" w:rsidR="00F05070" w:rsidRDefault="00F05070" w:rsidP="00F05070">
      <w:pPr>
        <w:spacing w:after="0" w:line="240" w:lineRule="auto"/>
        <w:jc w:val="center"/>
        <w:rPr>
          <w:sz w:val="28"/>
          <w:szCs w:val="28"/>
        </w:rPr>
      </w:pPr>
    </w:p>
    <w:p w14:paraId="05C1E207" w14:textId="77777777" w:rsidR="00F05070" w:rsidRPr="00412D14" w:rsidRDefault="00F05070" w:rsidP="00F05070">
      <w:pPr>
        <w:spacing w:after="0" w:line="240" w:lineRule="auto"/>
        <w:jc w:val="center"/>
        <w:rPr>
          <w:sz w:val="28"/>
          <w:szCs w:val="28"/>
        </w:rPr>
      </w:pPr>
    </w:p>
    <w:p w14:paraId="7A08E5B4" w14:textId="77777777" w:rsidR="00F05070" w:rsidRPr="00412D14" w:rsidRDefault="00F05070" w:rsidP="00F05070">
      <w:pPr>
        <w:spacing w:after="40" w:line="240" w:lineRule="auto"/>
        <w:jc w:val="center"/>
        <w:rPr>
          <w:sz w:val="28"/>
          <w:szCs w:val="28"/>
        </w:rPr>
      </w:pPr>
      <w:r w:rsidRPr="00412D14">
        <w:rPr>
          <w:rFonts w:ascii="Calibri" w:hAnsi="Calibri"/>
          <w:b/>
          <w:sz w:val="32"/>
          <w:szCs w:val="28"/>
        </w:rPr>
        <w:t>DREJTORIA PËR BUXHET DHE FINANCA</w:t>
      </w:r>
    </w:p>
    <w:p w14:paraId="42612F50" w14:textId="77777777" w:rsidR="00F05070" w:rsidRDefault="00F05070" w:rsidP="00F05070">
      <w:pPr>
        <w:spacing w:after="40" w:line="240" w:lineRule="auto"/>
        <w:jc w:val="center"/>
      </w:pPr>
    </w:p>
    <w:p w14:paraId="2560F2E5" w14:textId="77777777" w:rsidR="00F05070" w:rsidRDefault="00F05070" w:rsidP="00F05070">
      <w:pPr>
        <w:spacing w:after="0" w:line="240" w:lineRule="auto"/>
        <w:jc w:val="center"/>
      </w:pPr>
    </w:p>
    <w:p w14:paraId="13530513" w14:textId="77777777" w:rsidR="00F05070" w:rsidRDefault="00F05070" w:rsidP="00F05070">
      <w:pPr>
        <w:spacing w:after="0" w:line="240" w:lineRule="auto"/>
        <w:jc w:val="center"/>
      </w:pPr>
    </w:p>
    <w:p w14:paraId="72F6611F" w14:textId="77777777" w:rsidR="00F05070" w:rsidRDefault="00F05070" w:rsidP="00F05070">
      <w:pPr>
        <w:spacing w:after="0" w:line="240" w:lineRule="auto"/>
        <w:jc w:val="center"/>
      </w:pPr>
    </w:p>
    <w:p w14:paraId="70F8DD71" w14:textId="77777777" w:rsidR="00F05070" w:rsidRDefault="00F05070" w:rsidP="00F05070">
      <w:pPr>
        <w:spacing w:after="0" w:line="240" w:lineRule="auto"/>
        <w:jc w:val="center"/>
      </w:pPr>
    </w:p>
    <w:p w14:paraId="16542992" w14:textId="77777777" w:rsidR="00F05070" w:rsidRDefault="00F05070" w:rsidP="00F05070">
      <w:pPr>
        <w:spacing w:after="0" w:line="240" w:lineRule="auto"/>
        <w:jc w:val="center"/>
      </w:pPr>
    </w:p>
    <w:p w14:paraId="35CB80B5" w14:textId="77777777" w:rsidR="00F05070" w:rsidRDefault="00F05070" w:rsidP="00F05070">
      <w:pPr>
        <w:spacing w:after="0" w:line="240" w:lineRule="auto"/>
        <w:jc w:val="center"/>
      </w:pPr>
    </w:p>
    <w:p w14:paraId="5B158235" w14:textId="77777777" w:rsidR="00F05070" w:rsidRDefault="00F05070" w:rsidP="00F05070">
      <w:pPr>
        <w:spacing w:after="0" w:line="240" w:lineRule="auto"/>
        <w:jc w:val="center"/>
      </w:pPr>
    </w:p>
    <w:p w14:paraId="63311F04" w14:textId="77777777" w:rsidR="00F05070" w:rsidRDefault="00F05070" w:rsidP="00F05070">
      <w:pPr>
        <w:spacing w:after="0" w:line="240" w:lineRule="auto"/>
        <w:jc w:val="center"/>
      </w:pPr>
    </w:p>
    <w:p w14:paraId="6E7FCEA4" w14:textId="77777777" w:rsidR="00F05070" w:rsidRDefault="00F05070" w:rsidP="00F05070">
      <w:pPr>
        <w:spacing w:after="0" w:line="240" w:lineRule="auto"/>
        <w:jc w:val="center"/>
      </w:pPr>
    </w:p>
    <w:p w14:paraId="382762E3" w14:textId="77777777" w:rsidR="00F05070" w:rsidRDefault="00F05070" w:rsidP="00F05070">
      <w:pPr>
        <w:spacing w:after="0" w:line="240" w:lineRule="auto"/>
        <w:jc w:val="center"/>
      </w:pPr>
    </w:p>
    <w:p w14:paraId="5A097B4D" w14:textId="77777777" w:rsidR="00F05070" w:rsidRDefault="00F05070" w:rsidP="00F05070">
      <w:pPr>
        <w:spacing w:after="0" w:line="240" w:lineRule="auto"/>
        <w:jc w:val="center"/>
      </w:pPr>
    </w:p>
    <w:p w14:paraId="38CC14D6" w14:textId="77777777" w:rsidR="00F05070" w:rsidRDefault="00F05070" w:rsidP="00F05070">
      <w:pPr>
        <w:spacing w:after="0" w:line="240" w:lineRule="auto"/>
        <w:jc w:val="center"/>
      </w:pPr>
    </w:p>
    <w:p w14:paraId="084823BF" w14:textId="77777777" w:rsidR="00F05070" w:rsidRDefault="00F05070" w:rsidP="00F05070">
      <w:pPr>
        <w:spacing w:after="0" w:line="240" w:lineRule="auto"/>
        <w:jc w:val="center"/>
      </w:pPr>
    </w:p>
    <w:p w14:paraId="0F78117A" w14:textId="77777777" w:rsidR="00F05070" w:rsidRDefault="00F05070" w:rsidP="00F05070">
      <w:pPr>
        <w:spacing w:after="0" w:line="240" w:lineRule="auto"/>
        <w:jc w:val="center"/>
      </w:pPr>
    </w:p>
    <w:p w14:paraId="0C432E32" w14:textId="53E74D9F" w:rsidR="00F05070" w:rsidRDefault="00F05070" w:rsidP="00F05070">
      <w:pPr>
        <w:spacing w:after="0" w:line="240" w:lineRule="auto"/>
        <w:jc w:val="center"/>
      </w:pPr>
    </w:p>
    <w:p w14:paraId="6B99BD87" w14:textId="77777777" w:rsidR="00381AC9" w:rsidRDefault="00381AC9" w:rsidP="00F05070">
      <w:pPr>
        <w:spacing w:after="0" w:line="240" w:lineRule="auto"/>
        <w:jc w:val="center"/>
      </w:pPr>
    </w:p>
    <w:p w14:paraId="084FE279" w14:textId="77777777" w:rsidR="00F05070" w:rsidRDefault="00F05070" w:rsidP="00F05070">
      <w:pPr>
        <w:spacing w:after="0" w:line="240" w:lineRule="auto"/>
        <w:jc w:val="center"/>
      </w:pPr>
    </w:p>
    <w:p w14:paraId="7BAFF92C" w14:textId="77777777" w:rsidR="00F05070" w:rsidRDefault="00F05070" w:rsidP="00F05070">
      <w:pPr>
        <w:spacing w:after="0" w:line="240" w:lineRule="auto"/>
        <w:jc w:val="center"/>
      </w:pPr>
    </w:p>
    <w:p w14:paraId="28F6F62F" w14:textId="77777777" w:rsidR="00F05070" w:rsidRDefault="00F05070" w:rsidP="00F05070">
      <w:pPr>
        <w:spacing w:after="0" w:line="240" w:lineRule="auto"/>
        <w:jc w:val="center"/>
      </w:pPr>
    </w:p>
    <w:p w14:paraId="254F43D0" w14:textId="77777777" w:rsidR="00F05070" w:rsidRDefault="00F05070" w:rsidP="00F05070">
      <w:pPr>
        <w:spacing w:after="0" w:line="240" w:lineRule="auto"/>
        <w:jc w:val="center"/>
      </w:pPr>
    </w:p>
    <w:p w14:paraId="6CE95B20" w14:textId="77777777" w:rsidR="00F05070" w:rsidRDefault="00F05070" w:rsidP="00F05070">
      <w:pPr>
        <w:spacing w:after="0" w:line="240" w:lineRule="auto"/>
        <w:jc w:val="center"/>
      </w:pPr>
    </w:p>
    <w:p w14:paraId="4F59CF4A" w14:textId="77777777" w:rsidR="00F05070" w:rsidRDefault="00F05070" w:rsidP="00F05070">
      <w:pPr>
        <w:spacing w:after="0" w:line="240" w:lineRule="auto"/>
        <w:jc w:val="center"/>
        <w:rPr>
          <w:rFonts w:ascii="Calibri" w:hAnsi="Calibri"/>
          <w:color w:val="3C3C3C"/>
          <w:sz w:val="23"/>
        </w:rPr>
      </w:pPr>
      <w:r>
        <w:rPr>
          <w:rFonts w:ascii="Calibri" w:hAnsi="Calibri"/>
          <w:color w:val="3C3C3C"/>
          <w:sz w:val="23"/>
        </w:rPr>
        <w:t>Kaçanik, Prill 2026</w:t>
      </w:r>
    </w:p>
    <w:p w14:paraId="43721CAE" w14:textId="77777777" w:rsidR="00F05070" w:rsidRDefault="00F05070" w:rsidP="00F05070">
      <w:pPr>
        <w:rPr>
          <w:rFonts w:ascii="Calibri" w:hAnsi="Calibri"/>
          <w:color w:val="3C3C3C"/>
          <w:sz w:val="23"/>
        </w:rPr>
      </w:pPr>
    </w:p>
    <w:p w14:paraId="0BC30E0A" w14:textId="77777777" w:rsidR="00F05070" w:rsidRDefault="00F05070" w:rsidP="00F05070">
      <w:pPr>
        <w:rPr>
          <w:rFonts w:ascii="Calibri" w:hAnsi="Calibri"/>
          <w:color w:val="3C3C3C"/>
          <w:sz w:val="23"/>
        </w:rPr>
      </w:pPr>
    </w:p>
    <w:p w14:paraId="54FE4C68" w14:textId="77777777" w:rsidR="00F05070" w:rsidRDefault="00F05070" w:rsidP="00F05070">
      <w:pPr>
        <w:rPr>
          <w:rFonts w:ascii="Calibri" w:hAnsi="Calibri"/>
          <w:color w:val="3C3C3C"/>
          <w:sz w:val="23"/>
        </w:rPr>
      </w:pPr>
    </w:p>
    <w:p w14:paraId="3AC60327" w14:textId="77777777" w:rsidR="00F05070" w:rsidRDefault="00F05070" w:rsidP="00F05070">
      <w:pPr>
        <w:rPr>
          <w:rFonts w:ascii="Calibri" w:hAnsi="Calibri"/>
          <w:color w:val="3C3C3C"/>
          <w:sz w:val="23"/>
        </w:rPr>
      </w:pPr>
    </w:p>
    <w:p w14:paraId="5973D30C" w14:textId="77777777" w:rsidR="00F05070" w:rsidRPr="00F92316" w:rsidRDefault="00F05070" w:rsidP="00F05070">
      <w:pPr>
        <w:rPr>
          <w:b/>
          <w:bCs/>
          <w:sz w:val="28"/>
          <w:szCs w:val="28"/>
        </w:rPr>
      </w:pPr>
      <w:r w:rsidRPr="00F92316">
        <w:rPr>
          <w:b/>
          <w:bCs/>
          <w:sz w:val="28"/>
          <w:szCs w:val="28"/>
        </w:rPr>
        <w:t>I. Hyrje</w:t>
      </w:r>
    </w:p>
    <w:p w14:paraId="4B745212" w14:textId="77777777" w:rsidR="00F05070" w:rsidRPr="00F92316" w:rsidRDefault="00F05070" w:rsidP="00F05070">
      <w:r w:rsidRPr="00F92316">
        <w:t xml:space="preserve">Raporti Tremujor Financiar për periudhën </w:t>
      </w:r>
      <w:r w:rsidRPr="00F92316">
        <w:rPr>
          <w:b/>
          <w:bCs/>
        </w:rPr>
        <w:t>01 Janar 2026 – 31 Mars 2026</w:t>
      </w:r>
      <w:r w:rsidRPr="00F92316">
        <w:t xml:space="preserve"> është përgatitur me qëllim të paraqitjes së ecurisë së realizimit të buxhetit të Komunës së Kaçanikut gjatë tremujorit të parë të vitit fiskal 2026.</w:t>
      </w:r>
    </w:p>
    <w:p w14:paraId="487D46CB" w14:textId="77777777" w:rsidR="00F05070" w:rsidRPr="00F92316" w:rsidRDefault="00F05070" w:rsidP="00F05070">
      <w:r w:rsidRPr="00F92316">
        <w:t>Ky raport paraqet në mënyrë të përmbledhur dhe të qartë:</w:t>
      </w:r>
    </w:p>
    <w:p w14:paraId="0911B3D0" w14:textId="77777777" w:rsidR="00F05070" w:rsidRPr="00F92316" w:rsidRDefault="00F05070" w:rsidP="00F05070">
      <w:pPr>
        <w:numPr>
          <w:ilvl w:val="0"/>
          <w:numId w:val="1"/>
        </w:numPr>
      </w:pPr>
      <w:r w:rsidRPr="00F92316">
        <w:t xml:space="preserve">realizimin e të hyrave, </w:t>
      </w:r>
    </w:p>
    <w:p w14:paraId="072BF2C8" w14:textId="77777777" w:rsidR="00F05070" w:rsidRPr="00F92316" w:rsidRDefault="00F05070" w:rsidP="00F05070">
      <w:pPr>
        <w:numPr>
          <w:ilvl w:val="0"/>
          <w:numId w:val="1"/>
        </w:numPr>
      </w:pPr>
      <w:r w:rsidRPr="00F92316">
        <w:t xml:space="preserve">realizimin e shpenzimeve sipas kategorive ekonomike, </w:t>
      </w:r>
    </w:p>
    <w:p w14:paraId="3C0D8952" w14:textId="77777777" w:rsidR="00F05070" w:rsidRPr="00F92316" w:rsidRDefault="00F05070" w:rsidP="00F05070">
      <w:pPr>
        <w:numPr>
          <w:ilvl w:val="0"/>
          <w:numId w:val="1"/>
        </w:numPr>
      </w:pPr>
      <w:r w:rsidRPr="00F92316">
        <w:t xml:space="preserve">realizimin e shpenzimeve sipas programeve buxhetore, </w:t>
      </w:r>
    </w:p>
    <w:p w14:paraId="6E59DE23" w14:textId="77777777" w:rsidR="00F05070" w:rsidRPr="00F92316" w:rsidRDefault="00F05070" w:rsidP="00F05070">
      <w:pPr>
        <w:numPr>
          <w:ilvl w:val="0"/>
          <w:numId w:val="1"/>
        </w:numPr>
      </w:pPr>
      <w:r w:rsidRPr="00F92316">
        <w:t>gjendjen e investimeve</w:t>
      </w:r>
      <w:r>
        <w:t xml:space="preserve"> dhe</w:t>
      </w:r>
      <w:r w:rsidRPr="00F92316">
        <w:t xml:space="preserve"> </w:t>
      </w:r>
    </w:p>
    <w:p w14:paraId="08ABCC45" w14:textId="77777777" w:rsidR="00F05070" w:rsidRPr="00F92316" w:rsidRDefault="00F05070" w:rsidP="00F05070">
      <w:pPr>
        <w:numPr>
          <w:ilvl w:val="0"/>
          <w:numId w:val="1"/>
        </w:numPr>
      </w:pPr>
      <w:r w:rsidRPr="00F92316">
        <w:t xml:space="preserve">statusin e projekteve kapitale të komunës. </w:t>
      </w:r>
    </w:p>
    <w:p w14:paraId="41C827BE" w14:textId="77777777" w:rsidR="00F05070" w:rsidRPr="00F92316" w:rsidRDefault="00F05070" w:rsidP="00F05070">
      <w:r w:rsidRPr="00F92316">
        <w:t xml:space="preserve">Raporti është hartuar mbi bazën e të dhënave nga </w:t>
      </w:r>
      <w:r w:rsidRPr="004C7B92">
        <w:t xml:space="preserve">Sistemi Informativ </w:t>
      </w:r>
      <w:r>
        <w:t>i</w:t>
      </w:r>
      <w:r w:rsidRPr="004C7B92">
        <w:t xml:space="preserve"> Menaxhimit Financiar të Kosovës (SIMFK)</w:t>
      </w:r>
      <w:r>
        <w:t xml:space="preserve"> </w:t>
      </w:r>
      <w:r w:rsidRPr="00F92316">
        <w:t>si dhe të dhënat plotësuese të siguruara nga drejtoritë dhe zyrat përkatëse komunale.</w:t>
      </w:r>
    </w:p>
    <w:p w14:paraId="36A9721A" w14:textId="77777777" w:rsidR="00F05070" w:rsidRPr="00F92316" w:rsidRDefault="00F05070" w:rsidP="00F05070"/>
    <w:p w14:paraId="1D8B0D43" w14:textId="77777777" w:rsidR="00F05070" w:rsidRPr="00F92316" w:rsidRDefault="00F05070" w:rsidP="00F05070">
      <w:pPr>
        <w:rPr>
          <w:b/>
          <w:bCs/>
          <w:sz w:val="28"/>
          <w:szCs w:val="28"/>
        </w:rPr>
      </w:pPr>
      <w:r w:rsidRPr="00F92316">
        <w:rPr>
          <w:b/>
          <w:bCs/>
          <w:sz w:val="28"/>
          <w:szCs w:val="28"/>
        </w:rPr>
        <w:t>II. Baza ligjore</w:t>
      </w:r>
    </w:p>
    <w:p w14:paraId="7A88978E" w14:textId="77777777" w:rsidR="00F05070" w:rsidRPr="00F92316" w:rsidRDefault="00F05070" w:rsidP="00F05070">
      <w:r w:rsidRPr="00F92316">
        <w:t xml:space="preserve">Ky raport është përgatitur në pajtim me </w:t>
      </w:r>
      <w:hyperlink r:id="rId7" w:history="1">
        <w:r w:rsidRPr="00F92316">
          <w:rPr>
            <w:rStyle w:val="Hyperlink"/>
            <w:b/>
            <w:bCs/>
          </w:rPr>
          <w:t>Ligjin Nr. 03/L-048 për Menaxhimin e Financave Publike dhe Përgjegjësitë</w:t>
        </w:r>
      </w:hyperlink>
      <w:r w:rsidRPr="00F92316">
        <w:t xml:space="preserve">, përkatësisht me </w:t>
      </w:r>
      <w:r w:rsidRPr="00F92316">
        <w:rPr>
          <w:b/>
          <w:bCs/>
        </w:rPr>
        <w:t>nenin 45</w:t>
      </w:r>
      <w:r w:rsidRPr="00F92316">
        <w:t xml:space="preserve">, sipas të cilit Kryetari i Komunës obligohet të përgatisë dhe t’i dorëzojë Kuvendit Komunal raportet tremujore financiare, si dhe një kopje t’ia dorëzojë ministrisë përkatëse brenda tridhjetë </w:t>
      </w:r>
      <w:r>
        <w:t>(</w:t>
      </w:r>
      <w:r w:rsidRPr="00F92316">
        <w:t>30</w:t>
      </w:r>
      <w:r>
        <w:t>)</w:t>
      </w:r>
      <w:r w:rsidRPr="00F92316">
        <w:t xml:space="preserve"> ditëve pas përfundimit të çdo tremujori.</w:t>
      </w:r>
    </w:p>
    <w:p w14:paraId="652B2915" w14:textId="77777777" w:rsidR="00F05070" w:rsidRPr="00F92316" w:rsidRDefault="00F05070" w:rsidP="00F05070"/>
    <w:p w14:paraId="43D3E644" w14:textId="77777777" w:rsidR="00F05070" w:rsidRPr="00F92316" w:rsidRDefault="00F05070" w:rsidP="00F05070">
      <w:pPr>
        <w:rPr>
          <w:b/>
          <w:bCs/>
          <w:sz w:val="28"/>
          <w:szCs w:val="28"/>
        </w:rPr>
      </w:pPr>
      <w:r w:rsidRPr="00F92316">
        <w:rPr>
          <w:b/>
          <w:bCs/>
          <w:sz w:val="28"/>
          <w:szCs w:val="28"/>
        </w:rPr>
        <w:t>III. Qëllimi i raportit</w:t>
      </w:r>
    </w:p>
    <w:p w14:paraId="33359E2A" w14:textId="77777777" w:rsidR="00F05070" w:rsidRPr="00F92316" w:rsidRDefault="00F05070" w:rsidP="00F05070">
      <w:r w:rsidRPr="00F92316">
        <w:t>Qëllimi i këtij raporti është të informojë Kuvendin Komunal lidhur me:</w:t>
      </w:r>
    </w:p>
    <w:p w14:paraId="2B017478" w14:textId="77777777" w:rsidR="00F05070" w:rsidRPr="00F92316" w:rsidRDefault="00F05070" w:rsidP="00F05070">
      <w:pPr>
        <w:numPr>
          <w:ilvl w:val="0"/>
          <w:numId w:val="2"/>
        </w:numPr>
      </w:pPr>
      <w:r w:rsidRPr="00F92316">
        <w:t xml:space="preserve">nivelin e realizimit të të hyrave dhe shpenzimeve gjatë TM1 2026; </w:t>
      </w:r>
    </w:p>
    <w:p w14:paraId="71DDF6CF" w14:textId="77777777" w:rsidR="00F05070" w:rsidRPr="00F92316" w:rsidRDefault="00F05070" w:rsidP="00F05070">
      <w:pPr>
        <w:numPr>
          <w:ilvl w:val="0"/>
          <w:numId w:val="2"/>
        </w:numPr>
      </w:pPr>
      <w:r w:rsidRPr="00F92316">
        <w:t xml:space="preserve">ecurinë e realizimit të buxhetit sipas kategorive ekonomike dhe programeve buxhetore; </w:t>
      </w:r>
    </w:p>
    <w:p w14:paraId="6B524D85" w14:textId="77777777" w:rsidR="00F05070" w:rsidRPr="00F92316" w:rsidRDefault="00F05070" w:rsidP="00F05070">
      <w:pPr>
        <w:numPr>
          <w:ilvl w:val="0"/>
          <w:numId w:val="2"/>
        </w:numPr>
      </w:pPr>
      <w:r w:rsidRPr="00F92316">
        <w:t xml:space="preserve">faktorët që kanë ndikuar në realizimin buxhetor gjatë kësaj periudhe; </w:t>
      </w:r>
    </w:p>
    <w:p w14:paraId="4F74DDED" w14:textId="77777777" w:rsidR="00F05070" w:rsidRPr="00F92316" w:rsidRDefault="00F05070" w:rsidP="00F05070">
      <w:pPr>
        <w:numPr>
          <w:ilvl w:val="0"/>
          <w:numId w:val="2"/>
        </w:numPr>
      </w:pPr>
      <w:r w:rsidRPr="00F92316">
        <w:t>si dhe gjendjen e investimeve</w:t>
      </w:r>
      <w:r>
        <w:t xml:space="preserve"> dhe </w:t>
      </w:r>
      <w:r w:rsidRPr="00F92316">
        <w:t xml:space="preserve">projekteve kapitale. </w:t>
      </w:r>
    </w:p>
    <w:p w14:paraId="5172BB9E" w14:textId="77777777" w:rsidR="00F05070" w:rsidRDefault="00F05070" w:rsidP="00F05070"/>
    <w:p w14:paraId="3994732B" w14:textId="77777777" w:rsidR="00F05070" w:rsidRDefault="00F05070" w:rsidP="00F05070"/>
    <w:p w14:paraId="0F12F923" w14:textId="77777777" w:rsidR="00F05070" w:rsidRDefault="00F05070" w:rsidP="00F05070"/>
    <w:p w14:paraId="65EC7640" w14:textId="77777777" w:rsidR="00F05070" w:rsidRDefault="00F05070" w:rsidP="00F05070"/>
    <w:p w14:paraId="3B815A7B" w14:textId="77777777" w:rsidR="00F05070" w:rsidRDefault="00F05070" w:rsidP="00F05070"/>
    <w:p w14:paraId="6C78E35E" w14:textId="77777777" w:rsidR="00F05070" w:rsidRDefault="00F05070" w:rsidP="00F05070"/>
    <w:p w14:paraId="74B7804F" w14:textId="77777777" w:rsidR="00F05070" w:rsidRDefault="00F05070" w:rsidP="00F05070"/>
    <w:p w14:paraId="3EC25DF2" w14:textId="77777777" w:rsidR="00F05070" w:rsidRDefault="00F05070" w:rsidP="00F05070"/>
    <w:p w14:paraId="419AE182" w14:textId="77777777" w:rsidR="00F05070" w:rsidRDefault="00F05070" w:rsidP="00F05070"/>
    <w:p w14:paraId="6DCA14D6" w14:textId="77777777" w:rsidR="00F05070" w:rsidRPr="00F92316" w:rsidRDefault="00F05070" w:rsidP="00F05070"/>
    <w:p w14:paraId="7C8E430F" w14:textId="77777777" w:rsidR="00F05070" w:rsidRPr="00F92316" w:rsidRDefault="00F05070" w:rsidP="00F05070">
      <w:pPr>
        <w:rPr>
          <w:b/>
          <w:bCs/>
          <w:sz w:val="28"/>
          <w:szCs w:val="28"/>
        </w:rPr>
      </w:pPr>
      <w:r w:rsidRPr="00F92316">
        <w:rPr>
          <w:b/>
          <w:bCs/>
          <w:sz w:val="28"/>
          <w:szCs w:val="28"/>
        </w:rPr>
        <w:t>IV. Organizimi i programeve buxhetore sipas drejtorive dhe zyrave</w:t>
      </w:r>
    </w:p>
    <w:p w14:paraId="78AF973F" w14:textId="77777777" w:rsidR="00F05070" w:rsidRPr="00F92316" w:rsidRDefault="00F05070" w:rsidP="00F05070">
      <w:r w:rsidRPr="00F92316">
        <w:t xml:space="preserve">Për qëllime të paraqitjes së qartë të realizimit buxhetor, të hyrat dhe shpenzimet në këtë raport janë të organizuara sipas </w:t>
      </w:r>
      <w:r>
        <w:t xml:space="preserve">19 </w:t>
      </w:r>
      <w:r w:rsidRPr="00F92316">
        <w:t>programeve buxhetore që u përkasin drejtorive dhe zyrave përkatëse, si në vijim:</w:t>
      </w:r>
    </w:p>
    <w:p w14:paraId="034A5562" w14:textId="77777777" w:rsidR="00F05070" w:rsidRPr="00F92316" w:rsidRDefault="00F05070" w:rsidP="00F05070">
      <w:pPr>
        <w:pStyle w:val="ListParagraph"/>
        <w:numPr>
          <w:ilvl w:val="0"/>
          <w:numId w:val="3"/>
        </w:numPr>
      </w:pPr>
      <w:r w:rsidRPr="00F92316">
        <w:t>Zyra e Kryetarit</w:t>
      </w:r>
      <w:r w:rsidRPr="009279AD">
        <w:t xml:space="preserve"> (</w:t>
      </w:r>
      <w:r w:rsidRPr="00F92316">
        <w:t>16028 – Zyra e Kryetarit</w:t>
      </w:r>
      <w:r w:rsidRPr="009279AD">
        <w:t>)</w:t>
      </w:r>
    </w:p>
    <w:p w14:paraId="55BA5011" w14:textId="77777777" w:rsidR="00F05070" w:rsidRPr="00F92316" w:rsidRDefault="00F05070" w:rsidP="00F05070">
      <w:pPr>
        <w:pStyle w:val="ListParagraph"/>
        <w:numPr>
          <w:ilvl w:val="0"/>
          <w:numId w:val="3"/>
        </w:numPr>
      </w:pPr>
      <w:r w:rsidRPr="00F92316">
        <w:t>Drejtoria e Administratës së Përgjithshme</w:t>
      </w:r>
      <w:r w:rsidRPr="009279AD">
        <w:t xml:space="preserve"> (</w:t>
      </w:r>
      <w:r w:rsidRPr="00F92316">
        <w:t>16328 – Administrata</w:t>
      </w:r>
      <w:r>
        <w:t>)</w:t>
      </w:r>
    </w:p>
    <w:p w14:paraId="679E703F" w14:textId="77777777" w:rsidR="00F05070" w:rsidRPr="00F92316" w:rsidRDefault="00F05070" w:rsidP="00F05070">
      <w:pPr>
        <w:pStyle w:val="ListParagraph"/>
        <w:numPr>
          <w:ilvl w:val="0"/>
          <w:numId w:val="3"/>
        </w:numPr>
      </w:pPr>
      <w:r w:rsidRPr="00F92316">
        <w:t>Zyra për Barazi Gjinore</w:t>
      </w:r>
      <w:r>
        <w:t xml:space="preserve"> (</w:t>
      </w:r>
      <w:r w:rsidRPr="00F92316">
        <w:t>16528 – Çështje Gjinore</w:t>
      </w:r>
      <w:r>
        <w:t>)</w:t>
      </w:r>
    </w:p>
    <w:p w14:paraId="44450A16" w14:textId="77777777" w:rsidR="00F05070" w:rsidRPr="00F92316" w:rsidRDefault="00F05070" w:rsidP="00F05070">
      <w:pPr>
        <w:pStyle w:val="ListParagraph"/>
        <w:numPr>
          <w:ilvl w:val="0"/>
          <w:numId w:val="3"/>
        </w:numPr>
      </w:pPr>
      <w:r w:rsidRPr="00F92316">
        <w:t>Zyra e Kuvendit</w:t>
      </w:r>
      <w:r>
        <w:t xml:space="preserve"> (</w:t>
      </w:r>
      <w:r w:rsidRPr="00F92316">
        <w:t>16928 – Zyra e Kuvendit Komunal</w:t>
      </w:r>
      <w:r>
        <w:t>)</w:t>
      </w:r>
    </w:p>
    <w:p w14:paraId="27A0C8BB" w14:textId="77777777" w:rsidR="00F05070" w:rsidRPr="00F92316" w:rsidRDefault="00F05070" w:rsidP="00F05070">
      <w:pPr>
        <w:pStyle w:val="ListParagraph"/>
        <w:numPr>
          <w:ilvl w:val="0"/>
          <w:numId w:val="3"/>
        </w:numPr>
      </w:pPr>
      <w:r w:rsidRPr="00F92316">
        <w:t>Drejtoria e Buxhetit dhe Financave</w:t>
      </w:r>
      <w:r>
        <w:t xml:space="preserve"> (</w:t>
      </w:r>
      <w:r w:rsidRPr="00F92316">
        <w:t>17528 – Buxheti</w:t>
      </w:r>
      <w:r>
        <w:t>)</w:t>
      </w:r>
    </w:p>
    <w:p w14:paraId="5E41867F" w14:textId="77777777" w:rsidR="00F05070" w:rsidRPr="00F92316" w:rsidRDefault="00F05070" w:rsidP="00F05070">
      <w:pPr>
        <w:pStyle w:val="ListParagraph"/>
        <w:numPr>
          <w:ilvl w:val="0"/>
          <w:numId w:val="3"/>
        </w:numPr>
      </w:pPr>
      <w:r w:rsidRPr="00F92316">
        <w:t>Drejtoria e Shërbimeve Publike dhe Emergjencës</w:t>
      </w:r>
      <w:r>
        <w:t xml:space="preserve"> (</w:t>
      </w:r>
      <w:r w:rsidRPr="00F92316">
        <w:t>18028 – Shërbime Publike – Infrastruktura Rrugore</w:t>
      </w:r>
      <w:r w:rsidRPr="009279AD">
        <w:t xml:space="preserve"> dhe</w:t>
      </w:r>
      <w:r>
        <w:t xml:space="preserve"> </w:t>
      </w:r>
      <w:r w:rsidRPr="00F92316">
        <w:t>18432 – Zjarrfikësit dhe Inspektimet</w:t>
      </w:r>
      <w:r>
        <w:t>)</w:t>
      </w:r>
    </w:p>
    <w:p w14:paraId="12D1AACE" w14:textId="77777777" w:rsidR="00F05070" w:rsidRPr="00F92316" w:rsidRDefault="00F05070" w:rsidP="00F05070">
      <w:pPr>
        <w:pStyle w:val="ListParagraph"/>
        <w:numPr>
          <w:ilvl w:val="0"/>
          <w:numId w:val="3"/>
        </w:numPr>
      </w:pPr>
      <w:r w:rsidRPr="00F92316">
        <w:t>Zyra për Komunitete dhe Kthim</w:t>
      </w:r>
      <w:r>
        <w:t xml:space="preserve"> (</w:t>
      </w:r>
      <w:r w:rsidRPr="00F92316">
        <w:t>19640 – Zyra Lokale e Komuniteteve</w:t>
      </w:r>
      <w:r>
        <w:t>)</w:t>
      </w:r>
    </w:p>
    <w:p w14:paraId="10924D32" w14:textId="77777777" w:rsidR="00F05070" w:rsidRPr="00F92316" w:rsidRDefault="00F05070" w:rsidP="00F05070">
      <w:pPr>
        <w:pStyle w:val="ListParagraph"/>
        <w:numPr>
          <w:ilvl w:val="0"/>
          <w:numId w:val="3"/>
        </w:numPr>
      </w:pPr>
      <w:r w:rsidRPr="00F92316">
        <w:t>Drejtoria e Bujqësisë, Zhvillimit Rural dhe Pylltarisë</w:t>
      </w:r>
      <w:r>
        <w:t xml:space="preserve"> (</w:t>
      </w:r>
      <w:r w:rsidRPr="00F92316">
        <w:t>47028 – Bujqësia</w:t>
      </w:r>
      <w:r>
        <w:t>)</w:t>
      </w:r>
    </w:p>
    <w:p w14:paraId="57A83F05" w14:textId="77777777" w:rsidR="00F05070" w:rsidRPr="00F92316" w:rsidRDefault="00F05070" w:rsidP="00F05070">
      <w:pPr>
        <w:pStyle w:val="ListParagraph"/>
        <w:numPr>
          <w:ilvl w:val="0"/>
          <w:numId w:val="3"/>
        </w:numPr>
      </w:pPr>
      <w:r w:rsidRPr="00F92316">
        <w:t>Drejtoria e Zhvillimit Ekonomik dhe Turizmit</w:t>
      </w:r>
      <w:r>
        <w:t xml:space="preserve"> (</w:t>
      </w:r>
      <w:r w:rsidRPr="00F92316">
        <w:t>48028 – Planifikimi dhe Zhvillimi Ekonomik</w:t>
      </w:r>
      <w:r>
        <w:t>)</w:t>
      </w:r>
    </w:p>
    <w:p w14:paraId="6C868412" w14:textId="77777777" w:rsidR="00F05070" w:rsidRPr="00F92316" w:rsidRDefault="00F05070" w:rsidP="00F05070">
      <w:pPr>
        <w:pStyle w:val="ListParagraph"/>
        <w:numPr>
          <w:ilvl w:val="0"/>
          <w:numId w:val="3"/>
        </w:numPr>
      </w:pPr>
      <w:r w:rsidRPr="00F92316">
        <w:t>Drejtoria e Urbanizmit, Kadastrit dhe Mbrojtjes së Mjedisit</w:t>
      </w:r>
      <w:r>
        <w:t xml:space="preserve"> (</w:t>
      </w:r>
      <w:r w:rsidRPr="00F92316">
        <w:t>66445 – Planifikimi Urbanizmi Inspeksioni</w:t>
      </w:r>
      <w:r>
        <w:t>)</w:t>
      </w:r>
    </w:p>
    <w:p w14:paraId="7F859DE5" w14:textId="77777777" w:rsidR="00F05070" w:rsidRPr="00F92316" w:rsidRDefault="00F05070" w:rsidP="00F05070">
      <w:pPr>
        <w:pStyle w:val="ListParagraph"/>
        <w:numPr>
          <w:ilvl w:val="0"/>
          <w:numId w:val="3"/>
        </w:numPr>
      </w:pPr>
      <w:r w:rsidRPr="00F92316">
        <w:t>Drejtoria e Shëndetësisë dhe Mirëqenies Sociale</w:t>
      </w:r>
      <w:r>
        <w:t xml:space="preserve"> (</w:t>
      </w:r>
      <w:r w:rsidRPr="00F92316">
        <w:t>73037 – Administrata</w:t>
      </w:r>
      <w:r w:rsidRPr="009279AD">
        <w:t xml:space="preserve"> (Sh),</w:t>
      </w:r>
      <w:r>
        <w:t xml:space="preserve"> </w:t>
      </w:r>
      <w:r w:rsidRPr="00F92316">
        <w:t>74700 – Shërbimet e Kujdesit Primar Shëndetësor</w:t>
      </w:r>
      <w:r w:rsidRPr="009279AD">
        <w:t xml:space="preserve"> dhe</w:t>
      </w:r>
      <w:r>
        <w:t xml:space="preserve"> </w:t>
      </w:r>
      <w:r w:rsidRPr="00F92316">
        <w:t>75636 – Shërbimet Sociale</w:t>
      </w:r>
      <w:r>
        <w:t>)</w:t>
      </w:r>
    </w:p>
    <w:p w14:paraId="44076808" w14:textId="77777777" w:rsidR="00F05070" w:rsidRPr="00F92316" w:rsidRDefault="00F05070" w:rsidP="00F05070">
      <w:pPr>
        <w:pStyle w:val="ListParagraph"/>
        <w:numPr>
          <w:ilvl w:val="0"/>
          <w:numId w:val="3"/>
        </w:numPr>
      </w:pPr>
      <w:r w:rsidRPr="00F92316">
        <w:t>Drejtoria e Kulturës, Rinisë dhe Sportit</w:t>
      </w:r>
      <w:r>
        <w:t xml:space="preserve"> (</w:t>
      </w:r>
      <w:r w:rsidRPr="00F92316">
        <w:t>85028 – Shërbimet Kulturore</w:t>
      </w:r>
      <w:r>
        <w:t>)</w:t>
      </w:r>
    </w:p>
    <w:p w14:paraId="6B2ECEE6" w14:textId="77777777" w:rsidR="00F05070" w:rsidRPr="009279AD" w:rsidRDefault="00F05070" w:rsidP="00F05070">
      <w:pPr>
        <w:pStyle w:val="ListParagraph"/>
        <w:numPr>
          <w:ilvl w:val="0"/>
          <w:numId w:val="3"/>
        </w:numPr>
      </w:pPr>
      <w:r w:rsidRPr="00F92316">
        <w:t>Drejtoria e Arsimit</w:t>
      </w:r>
      <w:r>
        <w:t xml:space="preserve"> (</w:t>
      </w:r>
      <w:r w:rsidRPr="00F92316">
        <w:t>92140 – Administrata</w:t>
      </w:r>
      <w:r w:rsidRPr="009279AD">
        <w:t xml:space="preserve"> (A),</w:t>
      </w:r>
      <w:r>
        <w:t xml:space="preserve"> </w:t>
      </w:r>
      <w:r w:rsidRPr="00F92316">
        <w:t>92750 – Arsimi Parafillor / Çerdhet</w:t>
      </w:r>
      <w:r w:rsidRPr="009279AD">
        <w:t>,</w:t>
      </w:r>
      <w:r>
        <w:t xml:space="preserve"> </w:t>
      </w:r>
      <w:r w:rsidRPr="00F92316">
        <w:t>93810 – Arsimi Fillor</w:t>
      </w:r>
      <w:r w:rsidRPr="009279AD">
        <w:t xml:space="preserve"> dhe</w:t>
      </w:r>
      <w:r>
        <w:t xml:space="preserve"> </w:t>
      </w:r>
      <w:r w:rsidRPr="00F92316">
        <w:t>95010 – Arsimi i Mesëm</w:t>
      </w:r>
      <w:r>
        <w:t>)</w:t>
      </w:r>
    </w:p>
    <w:p w14:paraId="7DC43F24" w14:textId="77777777" w:rsidR="00F05070" w:rsidRPr="00F92316" w:rsidRDefault="00F05070" w:rsidP="00F05070"/>
    <w:p w14:paraId="6CB7565D" w14:textId="77777777" w:rsidR="00F05070" w:rsidRPr="00F92316" w:rsidRDefault="00F05070" w:rsidP="00F05070">
      <w:pPr>
        <w:rPr>
          <w:b/>
          <w:bCs/>
          <w:sz w:val="28"/>
          <w:szCs w:val="28"/>
        </w:rPr>
      </w:pPr>
      <w:r w:rsidRPr="00F92316">
        <w:rPr>
          <w:b/>
          <w:bCs/>
          <w:sz w:val="28"/>
          <w:szCs w:val="28"/>
        </w:rPr>
        <w:t>V. Përmbledhje ekzekutive</w:t>
      </w:r>
    </w:p>
    <w:p w14:paraId="50792B97" w14:textId="77777777" w:rsidR="00F05070" w:rsidRDefault="00F05070" w:rsidP="00F05070">
      <w:r w:rsidRPr="00485F62">
        <w:t xml:space="preserve">Gjatë tremujorit të parë të vitit 2026, realizimi i buxhetit të Komunës së Kaçanikut është zhvilluar në rrethana specifike, për shkak se </w:t>
      </w:r>
      <w:hyperlink r:id="rId8" w:history="1">
        <w:r w:rsidRPr="0003294A">
          <w:rPr>
            <w:rStyle w:val="Hyperlink"/>
          </w:rPr>
          <w:t>Ligji Nr. 10/L-001 mbi Ndarjet Buxhetore për Buxhetin e Republikёs sё Kosovёs pёr vitin 2026</w:t>
        </w:r>
      </w:hyperlink>
      <w:r w:rsidRPr="0003294A">
        <w:t xml:space="preserve"> </w:t>
      </w:r>
      <w:r w:rsidRPr="00485F62">
        <w:t>ka hyrë në fuqi më 02 mars 2026. Deri në funksionalizimin e alokimeve buxhetore, komuna ka operuar pothuajse deri në fund të muajit mars sipas regjimit 1/12 të buxhetit të vitit paraprak, përkatësisht për muajt janar, shkurt dhe mars. Kjo ka ndikuar në alokimin e mjeteve, në ofrimin e zotimeve financiare dhe në fillimin më të ngadalshëm të realizimit, sidomos në kategorinë e investimeve kapitale. Pavarësisht kësaj, komuna ka vazhduar përmbushjen e obligimeve buxhetore dhe ka ruajtur funksionimin e rregullt financiar.</w:t>
      </w:r>
    </w:p>
    <w:p w14:paraId="538A18CB" w14:textId="77777777" w:rsidR="00F05070" w:rsidRPr="00F92316" w:rsidRDefault="00F05070" w:rsidP="00F05070">
      <w:r w:rsidRPr="00300EB3">
        <w:rPr>
          <w:noProof/>
        </w:rPr>
        <w:lastRenderedPageBreak/>
        <w:drawing>
          <wp:inline distT="0" distB="0" distL="0" distR="0" wp14:anchorId="54D2D38C" wp14:editId="370A82BE">
            <wp:extent cx="5731510" cy="186753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67535"/>
                    </a:xfrm>
                    <a:prstGeom prst="rect">
                      <a:avLst/>
                    </a:prstGeom>
                    <a:noFill/>
                    <a:ln>
                      <a:noFill/>
                    </a:ln>
                  </pic:spPr>
                </pic:pic>
              </a:graphicData>
            </a:graphic>
          </wp:inline>
        </w:drawing>
      </w:r>
    </w:p>
    <w:p w14:paraId="73E614E3" w14:textId="77777777" w:rsidR="00F05070" w:rsidRDefault="00F05070" w:rsidP="00F05070">
      <w:r w:rsidRPr="004C7B92">
        <w:t xml:space="preserve">Buxheti i aprovuar i Komunës së Kaçanikut për vitin fiskal 2026 është në shumë prej 13,399,753.00 euro. </w:t>
      </w:r>
    </w:p>
    <w:p w14:paraId="5CBC2CF1" w14:textId="77777777" w:rsidR="00F05070" w:rsidRDefault="00F05070" w:rsidP="00F05070">
      <w:r w:rsidRPr="004C7B92">
        <w:t xml:space="preserve">Ky buxhet përbëhet nga granti i përgjithshëm në shumë prej 5,886,269.00 euro, granti specifik për arsim parauniversitar në shumë prej 4,761,842.00 euro dhe granti specifik për shëndetësi primare në shumë prej 1,686,509.00 euro. </w:t>
      </w:r>
    </w:p>
    <w:p w14:paraId="3A1509B8" w14:textId="77777777" w:rsidR="00F05070" w:rsidRDefault="00F05070" w:rsidP="00F05070">
      <w:r w:rsidRPr="004C7B92">
        <w:t>Nga këto burime, gjithsej granti qeveritar arrin vlerën prej 12,334,620.00 euro, që përfaqëson 92.05% të buxhetit total. Ndërkaq, të hyrat vetanake janë planifikuar në shumë prej 1,065,133.00 euro, që përbëjnë 7.95% të buxhetit total.</w:t>
      </w:r>
    </w:p>
    <w:p w14:paraId="5422AE76" w14:textId="77777777" w:rsidR="00F05070" w:rsidRDefault="00F05070" w:rsidP="00F05070">
      <w:pPr>
        <w:rPr>
          <w:b/>
          <w:bCs/>
        </w:rPr>
      </w:pPr>
    </w:p>
    <w:p w14:paraId="518BBDCE" w14:textId="77777777" w:rsidR="00F05070" w:rsidRPr="00F92316" w:rsidRDefault="00F05070" w:rsidP="00F05070">
      <w:pPr>
        <w:rPr>
          <w:b/>
          <w:bCs/>
          <w:sz w:val="28"/>
          <w:szCs w:val="28"/>
        </w:rPr>
      </w:pPr>
      <w:r w:rsidRPr="00F92316">
        <w:rPr>
          <w:b/>
          <w:bCs/>
          <w:sz w:val="28"/>
          <w:szCs w:val="28"/>
        </w:rPr>
        <w:t>VI. Raporti mbi të hyrat</w:t>
      </w:r>
    </w:p>
    <w:p w14:paraId="78FD78F9" w14:textId="77777777" w:rsidR="00F05070" w:rsidRPr="00F92316" w:rsidRDefault="00F05070" w:rsidP="00F05070">
      <w:r w:rsidRPr="00F92316">
        <w:t xml:space="preserve">Në këtë kapitull paraqitet realizimi i të hyrave për periudhën </w:t>
      </w:r>
      <w:r w:rsidRPr="00F92316">
        <w:rPr>
          <w:b/>
          <w:bCs/>
        </w:rPr>
        <w:t>01 Janar 2026 – 31 Mars 2026</w:t>
      </w:r>
      <w:r w:rsidRPr="00F92316">
        <w:t xml:space="preserve">, duke përfshirë të hyrat vetanake sipas të dhënave të evidentuara në </w:t>
      </w:r>
      <w:r w:rsidRPr="004C7B92">
        <w:t>Sistemi</w:t>
      </w:r>
      <w:r>
        <w:t>n</w:t>
      </w:r>
      <w:r w:rsidRPr="004C7B92">
        <w:t xml:space="preserve"> Informativ</w:t>
      </w:r>
      <w:r>
        <w:t xml:space="preserve"> të</w:t>
      </w:r>
      <w:r w:rsidRPr="004C7B92">
        <w:t xml:space="preserve"> Menaxhimit Financiar të Kosovës (SIMFK)</w:t>
      </w:r>
      <w:r w:rsidRPr="00F92316">
        <w:t xml:space="preserve"> </w:t>
      </w:r>
      <w:r>
        <w:t xml:space="preserve"> </w:t>
      </w:r>
      <w:r w:rsidRPr="00F92316">
        <w:t>dhe raportet përkatëse.</w:t>
      </w:r>
    </w:p>
    <w:p w14:paraId="2F16F34D" w14:textId="77777777" w:rsidR="00F05070" w:rsidRPr="00F92316" w:rsidRDefault="00F05070" w:rsidP="00F05070">
      <w:r w:rsidRPr="00F92316">
        <w:t>Të dhënat e paraqitura reflektojnë nivelin e realizimit të të hyrave gjatë tremujorit të parë të vitit 2026. Struktura e të hyrave pasqyron burimet kryesore të financimit të komunës, ndërsa niveli i realizimit është ndikuar edhe nga dinamika e zbatimit të dispozitave ligjore dhe procedurave administrative që kanë shoqëruar fillimin e vitit fiskal.</w:t>
      </w:r>
    </w:p>
    <w:p w14:paraId="1E809AC8" w14:textId="77777777" w:rsidR="00F05070" w:rsidRDefault="00F05070" w:rsidP="00F05070">
      <w:pPr>
        <w:rPr>
          <w:b/>
          <w:bCs/>
        </w:rPr>
      </w:pPr>
      <w:r w:rsidRPr="000415A2">
        <w:rPr>
          <w:noProof/>
        </w:rPr>
        <w:lastRenderedPageBreak/>
        <w:drawing>
          <wp:inline distT="0" distB="0" distL="0" distR="0" wp14:anchorId="2946878B" wp14:editId="11CAB524">
            <wp:extent cx="5731510" cy="4944745"/>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944745"/>
                    </a:xfrm>
                    <a:prstGeom prst="rect">
                      <a:avLst/>
                    </a:prstGeom>
                    <a:noFill/>
                    <a:ln>
                      <a:noFill/>
                    </a:ln>
                  </pic:spPr>
                </pic:pic>
              </a:graphicData>
            </a:graphic>
          </wp:inline>
        </w:drawing>
      </w:r>
    </w:p>
    <w:p w14:paraId="46BE9AE9" w14:textId="77777777" w:rsidR="00F05070" w:rsidRDefault="00F05070" w:rsidP="00F05070">
      <w:pPr>
        <w:rPr>
          <w:b/>
          <w:bCs/>
          <w:sz w:val="24"/>
          <w:szCs w:val="24"/>
        </w:rPr>
      </w:pPr>
    </w:p>
    <w:p w14:paraId="1949B596" w14:textId="77777777" w:rsidR="00F05070" w:rsidRDefault="00F05070" w:rsidP="00F05070">
      <w:pPr>
        <w:rPr>
          <w:b/>
          <w:bCs/>
          <w:sz w:val="24"/>
          <w:szCs w:val="24"/>
        </w:rPr>
      </w:pPr>
    </w:p>
    <w:p w14:paraId="3BC80645" w14:textId="77777777" w:rsidR="00F05070" w:rsidRDefault="00F05070" w:rsidP="00F05070">
      <w:pPr>
        <w:rPr>
          <w:b/>
          <w:bCs/>
          <w:sz w:val="24"/>
          <w:szCs w:val="24"/>
        </w:rPr>
      </w:pPr>
    </w:p>
    <w:p w14:paraId="03A5698D" w14:textId="77777777" w:rsidR="00F05070" w:rsidRDefault="00F05070" w:rsidP="00F05070">
      <w:pPr>
        <w:rPr>
          <w:b/>
          <w:bCs/>
          <w:sz w:val="24"/>
          <w:szCs w:val="24"/>
        </w:rPr>
      </w:pPr>
    </w:p>
    <w:p w14:paraId="7BCEE996" w14:textId="77777777" w:rsidR="00F05070" w:rsidRDefault="00F05070" w:rsidP="00F05070">
      <w:pPr>
        <w:rPr>
          <w:b/>
          <w:bCs/>
          <w:sz w:val="24"/>
          <w:szCs w:val="24"/>
        </w:rPr>
      </w:pPr>
    </w:p>
    <w:p w14:paraId="4BE41581" w14:textId="77777777" w:rsidR="00F05070" w:rsidRDefault="00F05070" w:rsidP="00F05070">
      <w:pPr>
        <w:rPr>
          <w:b/>
          <w:bCs/>
          <w:sz w:val="24"/>
          <w:szCs w:val="24"/>
        </w:rPr>
      </w:pPr>
    </w:p>
    <w:p w14:paraId="0819D301" w14:textId="77777777" w:rsidR="00F05070" w:rsidRPr="00F92316" w:rsidRDefault="00F05070" w:rsidP="00F05070">
      <w:pPr>
        <w:rPr>
          <w:b/>
          <w:bCs/>
          <w:sz w:val="24"/>
          <w:szCs w:val="24"/>
        </w:rPr>
      </w:pPr>
      <w:r w:rsidRPr="00F92316">
        <w:rPr>
          <w:b/>
          <w:bCs/>
          <w:sz w:val="24"/>
          <w:szCs w:val="24"/>
        </w:rPr>
        <w:t>VI.1 Të hyrat vetanake sipas programeve buxhetore</w:t>
      </w:r>
    </w:p>
    <w:p w14:paraId="61C0785F" w14:textId="77777777" w:rsidR="00F05070" w:rsidRPr="00F92316" w:rsidRDefault="00F05070" w:rsidP="00F05070">
      <w:r w:rsidRPr="00F92316">
        <w:t>Për një pasqyrë më të qartë të realizimit të të hyrave vetanake, në vijim paraqitet shpërndarja e tyre sipas programeve buxhetore dhe drejtorive përkatëse.</w:t>
      </w:r>
    </w:p>
    <w:p w14:paraId="2FD6B864" w14:textId="240EEE30" w:rsidR="00F05070" w:rsidRDefault="00F03D20" w:rsidP="00F05070">
      <w:pPr>
        <w:rPr>
          <w:b/>
          <w:bCs/>
        </w:rPr>
      </w:pPr>
      <w:r w:rsidRPr="00F03D20">
        <w:lastRenderedPageBreak/>
        <w:drawing>
          <wp:inline distT="0" distB="0" distL="0" distR="0" wp14:anchorId="3D244069" wp14:editId="4CCAF7A9">
            <wp:extent cx="5731510" cy="65411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541135"/>
                    </a:xfrm>
                    <a:prstGeom prst="rect">
                      <a:avLst/>
                    </a:prstGeom>
                    <a:noFill/>
                    <a:ln>
                      <a:noFill/>
                    </a:ln>
                  </pic:spPr>
                </pic:pic>
              </a:graphicData>
            </a:graphic>
          </wp:inline>
        </w:drawing>
      </w:r>
    </w:p>
    <w:p w14:paraId="5B6CB309" w14:textId="77777777" w:rsidR="00F05070" w:rsidRPr="00F92316" w:rsidRDefault="00F05070" w:rsidP="00F05070">
      <w:pPr>
        <w:rPr>
          <w:b/>
          <w:bCs/>
          <w:sz w:val="24"/>
          <w:szCs w:val="24"/>
        </w:rPr>
      </w:pPr>
      <w:r w:rsidRPr="00F92316">
        <w:rPr>
          <w:b/>
          <w:bCs/>
          <w:sz w:val="24"/>
          <w:szCs w:val="24"/>
        </w:rPr>
        <w:t>VI.2 S</w:t>
      </w:r>
      <w:r>
        <w:rPr>
          <w:b/>
          <w:bCs/>
          <w:sz w:val="24"/>
          <w:szCs w:val="24"/>
        </w:rPr>
        <w:t>qarime</w:t>
      </w:r>
      <w:r w:rsidRPr="00F92316">
        <w:rPr>
          <w:b/>
          <w:bCs/>
          <w:sz w:val="24"/>
          <w:szCs w:val="24"/>
        </w:rPr>
        <w:t xml:space="preserve"> lidhur me realizimin e të hyrave nga tatimi në pronë</w:t>
      </w:r>
    </w:p>
    <w:p w14:paraId="741D50E2" w14:textId="77777777" w:rsidR="00F05070" w:rsidRPr="00F92316" w:rsidRDefault="00F05070" w:rsidP="00F05070">
      <w:r w:rsidRPr="00F92316">
        <w:t>Realizimi i të hyrave vetanake gjatë TM1 2026 është ndikuar edhe nga dinamika e faturimit të tatimit në pronë për vitin 2026.</w:t>
      </w:r>
    </w:p>
    <w:p w14:paraId="23B4EE88" w14:textId="77777777" w:rsidR="00F05070" w:rsidRPr="00F92316" w:rsidRDefault="00F05070" w:rsidP="00F05070">
      <w:r w:rsidRPr="00F92316">
        <w:t>Ligji mbi Ndarjet Buxhetore për vitin 2026 ka përcaktuar se zbatimi i shkallës progresive për tatimin në pronën e paluajtshme shtyhet dhe fillon së aplikuari nga viti tatimor 2027, ndërsa për vitin tatimor 2026 vazhdon të aplikohet shkalla tatimore tranzitore.</w:t>
      </w:r>
    </w:p>
    <w:p w14:paraId="6F2F97C4" w14:textId="77777777" w:rsidR="00F05070" w:rsidRDefault="00F05070" w:rsidP="00F05070">
      <w:r w:rsidRPr="00F92316">
        <w:t xml:space="preserve">Si rezultat, deri më 31.03.2026 nuk kanë qenë aktive ngarkesat </w:t>
      </w:r>
      <w:r w:rsidRPr="00E30475">
        <w:t xml:space="preserve">(faturat) </w:t>
      </w:r>
      <w:r w:rsidRPr="00F92316">
        <w:t>për vitin tatimor 2026. Për këtë arsye, një numër i konsiderueshëm i qytetarëve, ndonëse të interesuar për pagesë, nuk kanë pasur mundësi të kryejnë obligimet e tyre para gjenerimit të faturave përkatëse</w:t>
      </w:r>
      <w:r w:rsidRPr="00E30475">
        <w:t xml:space="preserve">, pasi nuk është ditur </w:t>
      </w:r>
      <w:r w:rsidRPr="00E30475">
        <w:lastRenderedPageBreak/>
        <w:t>shuma për pagesë.</w:t>
      </w:r>
      <w:r w:rsidRPr="00F92316">
        <w:t xml:space="preserve"> Faturat për vitin 2026 kanë filluar të gjenerohen nga data 01.04.2026, </w:t>
      </w:r>
      <w:r w:rsidRPr="005F57C9">
        <w:t xml:space="preserve">çka pritet të reflektohet në </w:t>
      </w:r>
      <w:r>
        <w:t>TM2 dhe TM3 (rritje e inkasimit)</w:t>
      </w:r>
      <w:r w:rsidRPr="005F57C9">
        <w:t>.</w:t>
      </w:r>
    </w:p>
    <w:p w14:paraId="0FDE3B88" w14:textId="77777777" w:rsidR="00F05070" w:rsidRPr="00F92316" w:rsidRDefault="00F05070" w:rsidP="00F05070">
      <w:pPr>
        <w:rPr>
          <w:b/>
          <w:bCs/>
          <w:sz w:val="28"/>
          <w:szCs w:val="28"/>
        </w:rPr>
      </w:pPr>
      <w:r w:rsidRPr="00F92316">
        <w:rPr>
          <w:b/>
          <w:bCs/>
          <w:sz w:val="28"/>
          <w:szCs w:val="28"/>
        </w:rPr>
        <w:t>VII. Raporti mbi shpenzimet</w:t>
      </w:r>
    </w:p>
    <w:p w14:paraId="5B9E97A9" w14:textId="77777777" w:rsidR="00F05070" w:rsidRPr="00F92316" w:rsidRDefault="00F05070" w:rsidP="00F05070">
      <w:r w:rsidRPr="00F92316">
        <w:t xml:space="preserve">Në këtë kapitull paraqitet realizimi i shpenzimeve të Komunës së Kaçanikut për periudhën </w:t>
      </w:r>
      <w:r w:rsidRPr="00F92316">
        <w:rPr>
          <w:b/>
          <w:bCs/>
        </w:rPr>
        <w:t>01 Janar 2026 – 31 Mars 2026</w:t>
      </w:r>
      <w:r w:rsidRPr="00F92316">
        <w:t>, sipas kategorive ekonomike dhe programeve buxhetore.</w:t>
      </w:r>
    </w:p>
    <w:p w14:paraId="6E2D24A1" w14:textId="77777777" w:rsidR="00F05070" w:rsidRDefault="00F05070" w:rsidP="00F05070">
      <w:r w:rsidRPr="005F57C9">
        <w:rPr>
          <w:noProof/>
        </w:rPr>
        <w:drawing>
          <wp:inline distT="0" distB="0" distL="0" distR="0" wp14:anchorId="211E7EED" wp14:editId="29F81B3F">
            <wp:extent cx="5731510" cy="1866265"/>
            <wp:effectExtent l="0" t="0" r="2540" b="635"/>
            <wp:docPr id="1217123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66265"/>
                    </a:xfrm>
                    <a:prstGeom prst="rect">
                      <a:avLst/>
                    </a:prstGeom>
                    <a:noFill/>
                    <a:ln>
                      <a:noFill/>
                    </a:ln>
                  </pic:spPr>
                </pic:pic>
              </a:graphicData>
            </a:graphic>
          </wp:inline>
        </w:drawing>
      </w:r>
    </w:p>
    <w:p w14:paraId="54E32674" w14:textId="77777777" w:rsidR="00F05070" w:rsidRPr="00F92316" w:rsidRDefault="00F05070" w:rsidP="00F05070">
      <w:r w:rsidRPr="00F92316">
        <w:t>Realizimi i shpenzimeve gjatë TM1 2026 pasqyron funksionimin e rregullt të aktiviteteve komunale, ndonëse dinamika e shpenzimit është ndikuar nga hyrja me vonesë në fuqi e ligjit buxhetor për vitin 2026 dhe nga zbatimi i përkohshëm i regjimit financiar në fillim të vitit.</w:t>
      </w:r>
    </w:p>
    <w:p w14:paraId="2947149F" w14:textId="77777777" w:rsidR="00F05070" w:rsidRPr="00F92316" w:rsidRDefault="00F05070" w:rsidP="00F05070"/>
    <w:p w14:paraId="26EEE17E" w14:textId="77777777" w:rsidR="00F05070" w:rsidRPr="00F92316" w:rsidRDefault="00F05070" w:rsidP="00F05070">
      <w:pPr>
        <w:rPr>
          <w:b/>
          <w:bCs/>
          <w:sz w:val="28"/>
          <w:szCs w:val="28"/>
        </w:rPr>
      </w:pPr>
      <w:r w:rsidRPr="00F92316">
        <w:rPr>
          <w:b/>
          <w:bCs/>
          <w:sz w:val="28"/>
          <w:szCs w:val="28"/>
        </w:rPr>
        <w:t>VIII. Shpenzimet sipas programeve buxhetore</w:t>
      </w:r>
    </w:p>
    <w:p w14:paraId="354D6E6C" w14:textId="77777777" w:rsidR="00F05070" w:rsidRDefault="00F05070" w:rsidP="00F05070">
      <w:r w:rsidRPr="00485F62">
        <w:t>Në vijim paraqitet realizimi i shpenzimeve sipas programeve buxhetore, në përputhje me strukturën organizative dhe funksionale të komunës. Kjo pasqyrë mundëson vlerësimin e shpërndarjes së shpenzimeve sipas drejtorive dhe zyrave komunale, si dhe identifikimin e programeve me realizimin më të lartë dhe më të ulët gjatë TM1 2026.</w:t>
      </w:r>
    </w:p>
    <w:p w14:paraId="7692024B" w14:textId="77777777" w:rsidR="00F05070" w:rsidRDefault="00F05070" w:rsidP="00F05070">
      <w:r w:rsidRPr="00A76D0D">
        <w:rPr>
          <w:noProof/>
        </w:rPr>
        <w:drawing>
          <wp:inline distT="0" distB="0" distL="0" distR="0" wp14:anchorId="2E3A0EDD" wp14:editId="0458F900">
            <wp:extent cx="5731510" cy="2411730"/>
            <wp:effectExtent l="0" t="0" r="2540" b="7620"/>
            <wp:docPr id="1940528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5A6EE803" w14:textId="77777777" w:rsidR="00F05070" w:rsidRDefault="00F05070" w:rsidP="00F05070"/>
    <w:p w14:paraId="6BC7A32A" w14:textId="77777777" w:rsidR="00F05070" w:rsidRDefault="00F05070" w:rsidP="00F05070"/>
    <w:p w14:paraId="64CB678F" w14:textId="77777777" w:rsidR="00F05070" w:rsidRDefault="00F05070" w:rsidP="00F05070"/>
    <w:p w14:paraId="6A50C8F7" w14:textId="77777777" w:rsidR="00F05070" w:rsidRDefault="00F05070" w:rsidP="00F05070"/>
    <w:p w14:paraId="383A9AC6" w14:textId="77777777" w:rsidR="00F05070" w:rsidRDefault="00F05070" w:rsidP="00F05070"/>
    <w:p w14:paraId="3B507F1D" w14:textId="77777777" w:rsidR="00F05070" w:rsidRDefault="00F05070" w:rsidP="00F05070"/>
    <w:p w14:paraId="1A294591" w14:textId="77777777" w:rsidR="00F05070" w:rsidRDefault="00F05070" w:rsidP="00F05070"/>
    <w:p w14:paraId="3C5E90D6" w14:textId="77777777" w:rsidR="00F05070" w:rsidRDefault="00F05070" w:rsidP="00F05070"/>
    <w:p w14:paraId="12E72E52" w14:textId="77777777" w:rsidR="00F05070" w:rsidRPr="00F92316" w:rsidRDefault="00F05070" w:rsidP="00F05070">
      <w:pPr>
        <w:rPr>
          <w:b/>
          <w:bCs/>
          <w:sz w:val="28"/>
          <w:szCs w:val="28"/>
        </w:rPr>
      </w:pPr>
      <w:r w:rsidRPr="00F92316">
        <w:rPr>
          <w:b/>
          <w:bCs/>
          <w:sz w:val="28"/>
          <w:szCs w:val="28"/>
        </w:rPr>
        <w:t>IX. Mallra dhe shërbime</w:t>
      </w:r>
    </w:p>
    <w:p w14:paraId="49E8CBB1" w14:textId="77777777" w:rsidR="00F05070" w:rsidRDefault="00F05070" w:rsidP="00F05070">
      <w:r w:rsidRPr="00F92316">
        <w:t>Kategoria e mallrave dhe shërbimeve përfshin shpenzimet operative të domosdoshme për funksionimin e drejtorive dhe ofrimin e shërbimeve komunale ndaj qytetarëve.</w:t>
      </w:r>
    </w:p>
    <w:p w14:paraId="02DB1F38" w14:textId="77777777" w:rsidR="00F05070" w:rsidRDefault="00F05070" w:rsidP="00F05070">
      <w:r w:rsidRPr="00601B34">
        <w:rPr>
          <w:noProof/>
        </w:rPr>
        <w:drawing>
          <wp:inline distT="0" distB="0" distL="0" distR="0" wp14:anchorId="645517C4" wp14:editId="2F7D9ED5">
            <wp:extent cx="5731510" cy="2441575"/>
            <wp:effectExtent l="0" t="0" r="2540" b="0"/>
            <wp:docPr id="351909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441575"/>
                    </a:xfrm>
                    <a:prstGeom prst="rect">
                      <a:avLst/>
                    </a:prstGeom>
                    <a:noFill/>
                    <a:ln>
                      <a:noFill/>
                    </a:ln>
                  </pic:spPr>
                </pic:pic>
              </a:graphicData>
            </a:graphic>
          </wp:inline>
        </w:drawing>
      </w:r>
    </w:p>
    <w:p w14:paraId="2B49599F" w14:textId="77777777" w:rsidR="00F05070" w:rsidRDefault="00F05070" w:rsidP="00F05070"/>
    <w:p w14:paraId="37FFFE09" w14:textId="77777777" w:rsidR="00F05070" w:rsidRDefault="00F05070" w:rsidP="00F05070">
      <w:r>
        <w:t>Gjatë tremujorit të parë të vitit 2026, në kategorinë Mallra dhe Shërbime janë realizuar shpenzime në shumë totale prej 209,425.28 euro. Krahasuar me periudhën e njëjtë të vitit 2025, kur këto shpenzime ishin në shumë prej 266,674.28 euro, evidentohet një ulje prej 57,249.00 euro.</w:t>
      </w:r>
    </w:p>
    <w:p w14:paraId="72C15E82" w14:textId="77777777" w:rsidR="00F05070" w:rsidRDefault="00F05070" w:rsidP="00F05070"/>
    <w:p w14:paraId="7F5386C0" w14:textId="77777777" w:rsidR="00F05070" w:rsidRDefault="00F05070" w:rsidP="00F05070">
      <w:r>
        <w:t>14032 – mirëmbajtja e rrugëve lokale</w:t>
      </w:r>
    </w:p>
    <w:p w14:paraId="426578BF" w14:textId="77777777" w:rsidR="00F05070" w:rsidRDefault="00F05070" w:rsidP="00F05070">
      <w:r w:rsidRPr="00F0477F">
        <w:t xml:space="preserve">Këto mjete janë realizuar në kuadër të programit 18028 – Shërbime Publike – Infrastruktura Rrugore dhe lidhen me pagesat e kryera për tri kontrata aktive, përkatësisht: </w:t>
      </w:r>
      <w:r>
        <w:t xml:space="preserve">1) </w:t>
      </w:r>
      <w:r w:rsidRPr="00F0477F">
        <w:t xml:space="preserve">mirëmbajtja verore dhe dimërore e rrugëve lokale, </w:t>
      </w:r>
      <w:r>
        <w:t xml:space="preserve">2) </w:t>
      </w:r>
      <w:r w:rsidRPr="00F0477F">
        <w:t xml:space="preserve">mirëmbajtja e ndriçimit publik, si dhe </w:t>
      </w:r>
      <w:r>
        <w:t xml:space="preserve">3) </w:t>
      </w:r>
      <w:r w:rsidRPr="00F0477F">
        <w:t>rregullimi dhe mirëmbajtja e sinjalizimit vertikal dhe horizontal në Komunën e Kaçanikut. Këto shpenzime kanë ndikuar në ruajtjen e infrastrukturës rrugore dhe në sigurimin e qarkullimit më të rregullt dhe më të sigurt për qytetarët.</w:t>
      </w:r>
    </w:p>
    <w:p w14:paraId="49D6211C" w14:textId="77777777" w:rsidR="00F05070" w:rsidRDefault="00F05070" w:rsidP="00F05070"/>
    <w:p w14:paraId="36C11453" w14:textId="77777777" w:rsidR="00F05070" w:rsidRDefault="00F05070" w:rsidP="00F05070">
      <w:r>
        <w:t>13475 – sigurimi fizik i objekteve publike</w:t>
      </w:r>
    </w:p>
    <w:p w14:paraId="2835963C" w14:textId="77777777" w:rsidR="00F05070" w:rsidRDefault="00F05070" w:rsidP="00F05070">
      <w:r>
        <w:t>Janë realizuar shpenzime në shumë totale prej 20,770.23 euro, të cilat lidhen me pagesat për sigurimin fizik të objekteve publike. Këto shpenzime janë evidentuar në disa programe buxhetore, përkatësisht në Administratë (objekti i Administratës), Shërbimet e Kujdesit Primar Shëndetësor (QKMF), Shërbimet Kulturore (Shtëpia e Kulturës “Xheladin Kurtaj” dhe Palestra e Sporteve) dhe në Arsimin Fillor dhe Arsimin e Mesëm (shkollat).</w:t>
      </w:r>
    </w:p>
    <w:p w14:paraId="2AD14CB9" w14:textId="77777777" w:rsidR="00F05070" w:rsidRDefault="00F05070" w:rsidP="00F05070"/>
    <w:p w14:paraId="3A790F47" w14:textId="77777777" w:rsidR="00F05070" w:rsidRDefault="00F05070" w:rsidP="00F05070">
      <w:r>
        <w:t>14060 – mirëmbajtja rutinore</w:t>
      </w:r>
    </w:p>
    <w:p w14:paraId="514BE7DD" w14:textId="77777777" w:rsidR="00F05070" w:rsidRDefault="00F05070" w:rsidP="00F05070">
      <w:r>
        <w:t>Janë realizuar shpenzime në shumë prej 19,961.40 euro, kryesisht në kuadër të programit 18028 – Shërbime Publike – Infrastruktura Rrugore. Këto shpenzime lidhen me mirëmbajtjen rutinore të hapësirave dhe infrastrukturës publike.</w:t>
      </w:r>
    </w:p>
    <w:p w14:paraId="218777B5" w14:textId="77777777" w:rsidR="00427C77" w:rsidRDefault="00427C77" w:rsidP="00F05070"/>
    <w:p w14:paraId="7EC01EED" w14:textId="24AD2594" w:rsidR="00F05070" w:rsidRDefault="00F05070" w:rsidP="00F05070">
      <w:r>
        <w:t>13630 – furnizimet mjekësore</w:t>
      </w:r>
    </w:p>
    <w:p w14:paraId="2B6F55FF" w14:textId="77777777" w:rsidR="00F05070" w:rsidRDefault="00F05070" w:rsidP="00F05070">
      <w:r>
        <w:t>Janë realizuar shpenzime në shumë prej 14,729.98 euro, të gjitha në programin 74700 – Shërbimet e Kujdesit Primar Shëndetësor. Këto mjete janë shpenzuar për furnizime mjekësore të nevojshme për funksionimin e rregullt të institucioneve të kujdesit parësor shëndetësor.</w:t>
      </w:r>
    </w:p>
    <w:p w14:paraId="6942E0B1" w14:textId="77777777" w:rsidR="00F05070" w:rsidRDefault="00F05070" w:rsidP="00F05070"/>
    <w:p w14:paraId="45B2C3F6" w14:textId="77777777" w:rsidR="00F05070" w:rsidRDefault="00F05070" w:rsidP="00F05070">
      <w:r>
        <w:t>13760 – drutë dhe prodhimet e drurit për ngrohje:</w:t>
      </w:r>
    </w:p>
    <w:p w14:paraId="76149027" w14:textId="77777777" w:rsidR="00F05070" w:rsidRDefault="00F05070" w:rsidP="00F05070">
      <w:r>
        <w:t>Janë realizuar shpenzime në shumë totale prej 13,410.00 euro, të shpërndara në programet 93810 – Arsimi Fillor dhe 95010 – Arsimi i Mesëm, me nga 6,705.00 euro secila. Këto shpenzime lidhen me sigurimin e lëndës djegëse për ngrohje në institucionet arsimore.</w:t>
      </w:r>
    </w:p>
    <w:p w14:paraId="0DEB1591" w14:textId="77777777" w:rsidR="00F05070" w:rsidRDefault="00F05070" w:rsidP="00F05070"/>
    <w:p w14:paraId="0EA716A6" w14:textId="77777777" w:rsidR="00F05070" w:rsidRDefault="00F05070" w:rsidP="00F05070">
      <w:r w:rsidRPr="00601B34">
        <w:t>Në kuadër të kategorisë së mallrave dhe shërbimeve, gjatë TM1 2026 janë realizuar edhe shpenzime të tjera operative që kanë mbështetur funksionimin e rregullt të drejtorive dhe institucioneve komunale. Këtu përfshihen furnizimet me ushqim dhe pije, pagesat e anëtarësimit, shërbimet këshilldhënëse dhe profesionale, shërbimet shëndetësore, shërbimet e shtypjes dhe printimit, shpenzimet e përfaqësimit, ekzekutimi i vendimeve gjyqësore, mirëmbajtja e mobiljeve, pajisjeve dhe automjeteve, si dhe qiraja për pajisje. Gjithashtu, janë realizuar edhe shpenzime me vlera më të ulëta për internet, telefoninë mobile, shërbime postare, furnizime të pastrimit, regjistrim dhe sigurim të automjeteve, si dhe mirëmbajtje të objekteve kulturore e arsimore.</w:t>
      </w:r>
    </w:p>
    <w:p w14:paraId="3B1C8FE8" w14:textId="77777777" w:rsidR="00F05070" w:rsidRDefault="00F05070" w:rsidP="00F05070">
      <w:r>
        <w:t>Në përgjithësi, shpenzimet në kategorinë Mallra dhe Shërbime gjatë TM1 2026 janë orientuar kryesisht në mbështetjen e funksionimit operativ të komunës, mirëmbajtjen e infrastrukturës publike, sigurimin e kushteve për institucionet shëndetësore dhe arsimore, si dhe ofrimin e shërbimeve bazë për qytetarët.</w:t>
      </w:r>
    </w:p>
    <w:p w14:paraId="51C99A8F" w14:textId="77777777" w:rsidR="00F05070" w:rsidRPr="00F92316" w:rsidRDefault="00F05070" w:rsidP="00F05070"/>
    <w:p w14:paraId="3E3B53A4" w14:textId="77777777" w:rsidR="00F05070" w:rsidRPr="00F92316" w:rsidRDefault="00F05070" w:rsidP="00F05070">
      <w:pPr>
        <w:rPr>
          <w:b/>
          <w:bCs/>
          <w:sz w:val="28"/>
          <w:szCs w:val="28"/>
        </w:rPr>
      </w:pPr>
      <w:r w:rsidRPr="00F92316">
        <w:rPr>
          <w:b/>
          <w:bCs/>
          <w:sz w:val="28"/>
          <w:szCs w:val="28"/>
        </w:rPr>
        <w:t>X. Shpenzime komunale</w:t>
      </w:r>
    </w:p>
    <w:p w14:paraId="05047F71" w14:textId="77777777" w:rsidR="00F05070" w:rsidRPr="00F92316" w:rsidRDefault="00F05070" w:rsidP="00F05070">
      <w:r w:rsidRPr="00F92316">
        <w:t>Shpenzimet komunale përfshijnë pagesat që lidhen me shërbimet komunale dhe shpenzimet e domosdoshme për funksionimin institucional.</w:t>
      </w:r>
    </w:p>
    <w:p w14:paraId="1899C2C2" w14:textId="77777777" w:rsidR="00F05070" w:rsidRDefault="00F05070" w:rsidP="00F05070">
      <w:r w:rsidRPr="00FF3AB8">
        <w:rPr>
          <w:noProof/>
        </w:rPr>
        <w:drawing>
          <wp:inline distT="0" distB="0" distL="0" distR="0" wp14:anchorId="0143290D" wp14:editId="088A78C5">
            <wp:extent cx="5731510" cy="1273175"/>
            <wp:effectExtent l="0" t="0" r="2540" b="3175"/>
            <wp:docPr id="20240940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73175"/>
                    </a:xfrm>
                    <a:prstGeom prst="rect">
                      <a:avLst/>
                    </a:prstGeom>
                    <a:noFill/>
                    <a:ln>
                      <a:noFill/>
                    </a:ln>
                  </pic:spPr>
                </pic:pic>
              </a:graphicData>
            </a:graphic>
          </wp:inline>
        </w:drawing>
      </w:r>
    </w:p>
    <w:p w14:paraId="1BBCF7BD" w14:textId="77777777" w:rsidR="00F05070" w:rsidRDefault="00F05070" w:rsidP="00F05070">
      <w:r w:rsidRPr="00940410">
        <w:lastRenderedPageBreak/>
        <w:t>Në kategorinë Shpenzime komunale është evidentuar rritje krahasuar me periudhën e njëjtë të vitit paraprak. Kjo rritje vjen si pasojë e rritjes së konsumit të energjisë elektrike në objektin e administratës, ku sistemi i klimatizimit, i investuar së fundmi, ka zëvendësuar mënyrën e mëparshme të ngrohjes me dru, duke bërë që ngrohja të realizohet përmes energjisë elektrike. Gjithashtu, në rritjen e kësaj kategorie ka ndikuar edhe shtrirja e rrjetit të ndriçimit publik në rrugë të ndryshme të komunës.</w:t>
      </w:r>
    </w:p>
    <w:p w14:paraId="3B78C243" w14:textId="77777777" w:rsidR="00F05070" w:rsidRDefault="00F05070" w:rsidP="00F05070"/>
    <w:p w14:paraId="22C14B73" w14:textId="77777777" w:rsidR="00F05070" w:rsidRPr="00F92316" w:rsidRDefault="00F05070" w:rsidP="00F05070"/>
    <w:p w14:paraId="6C783CB6" w14:textId="77777777" w:rsidR="00F05070" w:rsidRPr="00F92316" w:rsidRDefault="00F05070" w:rsidP="00F05070">
      <w:pPr>
        <w:rPr>
          <w:b/>
          <w:bCs/>
          <w:sz w:val="28"/>
          <w:szCs w:val="28"/>
        </w:rPr>
      </w:pPr>
      <w:r w:rsidRPr="00F92316">
        <w:rPr>
          <w:b/>
          <w:bCs/>
          <w:sz w:val="28"/>
          <w:szCs w:val="28"/>
        </w:rPr>
        <w:t>XI. Subvencione dhe transfere</w:t>
      </w:r>
    </w:p>
    <w:p w14:paraId="5BBE0C53" w14:textId="77777777" w:rsidR="00F05070" w:rsidRPr="00F92316" w:rsidRDefault="00F05070" w:rsidP="00F05070">
      <w:r w:rsidRPr="00F92316">
        <w:t>Në këtë kategori paraqiten pagesat e realizuara në kuadër të subvencioneve dhe transfereve sipas programeve buxhetore dhe përfituesve përkatës.</w:t>
      </w:r>
    </w:p>
    <w:p w14:paraId="24EBAFE2" w14:textId="77777777" w:rsidR="00F05070" w:rsidRDefault="00F05070" w:rsidP="00F05070">
      <w:r w:rsidRPr="00940410">
        <w:rPr>
          <w:noProof/>
        </w:rPr>
        <w:drawing>
          <wp:inline distT="0" distB="0" distL="0" distR="0" wp14:anchorId="4347D504" wp14:editId="35C3C951">
            <wp:extent cx="5731510" cy="1346200"/>
            <wp:effectExtent l="0" t="0" r="2540" b="6350"/>
            <wp:docPr id="12835575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346200"/>
                    </a:xfrm>
                    <a:prstGeom prst="rect">
                      <a:avLst/>
                    </a:prstGeom>
                    <a:noFill/>
                    <a:ln>
                      <a:noFill/>
                    </a:ln>
                  </pic:spPr>
                </pic:pic>
              </a:graphicData>
            </a:graphic>
          </wp:inline>
        </w:drawing>
      </w:r>
    </w:p>
    <w:p w14:paraId="00C741E1" w14:textId="77777777" w:rsidR="00F05070" w:rsidRDefault="00F05070" w:rsidP="00F05070"/>
    <w:p w14:paraId="773700DE" w14:textId="77777777" w:rsidR="00F05070" w:rsidRDefault="00F05070" w:rsidP="00F05070">
      <w:r w:rsidRPr="00940410">
        <w:t xml:space="preserve">Në kategorinë Subvencione dhe Transfere është shënuar rritje e realizimit gjatë TM1 2026. Kjo rritje është ndikuar nga subvencionimi i organizatave joqeveritare rinore dhe sportive nga Drejtoria për Kulturë, Rini dhe Sport, si dhe nga subvencionimi i transportit të nxënësve në shkolla nga Drejtoria e Arsimit. Gjithashtu, Zyra e Kryetarit dhe Drejtoria e Shëndetësisë dhe Mirëqenies Sociale kanë mbështetur financiarisht nënat lehona me nga 200 euro për lindje, si dhe raste në nevojë me kushte të rënda ekonomike dhe gjendje të rënduar shëndetësore. Po ashtu, Drejtoria e Shërbimeve Publike </w:t>
      </w:r>
      <w:r>
        <w:t xml:space="preserve">dhe Emergjencës </w:t>
      </w:r>
      <w:r w:rsidRPr="00940410">
        <w:t>ka subvencionuar shërbimet e varrimit, në bazë të marrëveshjes së nënshkruar ndërmjet Komunës së Kaçanikut dhe Bashkësisë Islame të Kosovës, dega në Kaçanik.</w:t>
      </w:r>
    </w:p>
    <w:p w14:paraId="14294455" w14:textId="77777777" w:rsidR="00F05070" w:rsidRPr="00F92316" w:rsidRDefault="00F05070" w:rsidP="00F05070"/>
    <w:p w14:paraId="0E2F1D51" w14:textId="77777777" w:rsidR="00F05070" w:rsidRPr="00F92316" w:rsidRDefault="00F05070" w:rsidP="00F05070">
      <w:pPr>
        <w:rPr>
          <w:b/>
          <w:bCs/>
          <w:sz w:val="28"/>
          <w:szCs w:val="28"/>
        </w:rPr>
      </w:pPr>
      <w:r w:rsidRPr="00F92316">
        <w:rPr>
          <w:b/>
          <w:bCs/>
          <w:sz w:val="28"/>
          <w:szCs w:val="28"/>
        </w:rPr>
        <w:t>XII. Buxheti i komunës sipas programeve buxhetore për vitin 2026</w:t>
      </w:r>
    </w:p>
    <w:p w14:paraId="408454E3" w14:textId="77777777" w:rsidR="00F05070" w:rsidRDefault="00F05070" w:rsidP="00F05070">
      <w:r>
        <w:t>Në vijim paraqitet ndarja buxhetore e Komunës së Kaçanikut për vitin 2026 sipas programeve buxhetore, kategorive ekonomike dhe numrit të stafit të autorizuar në buxhet. Kjo paraqitje shërben si bazë krahasuese për vlerësimin e realizimit të shpenzimeve dhe prioriteteve buxhetore gjatë periudhës raportuese, si dhe për krahasimin e numrit faktik të punonjësve të përhershëm dhe të përkohshëm me numrin e autorizuar në buxhet.</w:t>
      </w:r>
    </w:p>
    <w:p w14:paraId="2FB9659A" w14:textId="77777777" w:rsidR="00F05070" w:rsidRPr="00F92316" w:rsidRDefault="00F05070" w:rsidP="00F05070">
      <w:r>
        <w:t>Sipas Ligjit mbi Ndarjet Buxhetore për vitin 2026, për Komunën e Kaçanikut janë të përfshirë gjithsej 823 persona si numër i stafit të autorizuar në buxhet. Ndërkaq, në fund të periudhës raportuese, përkatësisht në muajin mars 2026, në listën e pagave janë evidentuar gjithsej 799 persona.</w:t>
      </w:r>
    </w:p>
    <w:p w14:paraId="767B9650" w14:textId="77777777" w:rsidR="00F05070" w:rsidRDefault="00F05070" w:rsidP="00F05070">
      <w:r w:rsidRPr="000415A2">
        <w:rPr>
          <w:noProof/>
        </w:rPr>
        <w:lastRenderedPageBreak/>
        <w:drawing>
          <wp:inline distT="0" distB="0" distL="0" distR="0" wp14:anchorId="330EF5E7" wp14:editId="5FFC71B6">
            <wp:extent cx="5731510" cy="2943860"/>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943860"/>
                    </a:xfrm>
                    <a:prstGeom prst="rect">
                      <a:avLst/>
                    </a:prstGeom>
                    <a:noFill/>
                    <a:ln>
                      <a:noFill/>
                    </a:ln>
                  </pic:spPr>
                </pic:pic>
              </a:graphicData>
            </a:graphic>
          </wp:inline>
        </w:drawing>
      </w:r>
    </w:p>
    <w:p w14:paraId="7E42854D" w14:textId="77777777" w:rsidR="00F05070" w:rsidRPr="00F92316" w:rsidRDefault="00F05070" w:rsidP="00F05070"/>
    <w:p w14:paraId="5900E01E" w14:textId="77777777" w:rsidR="00F05070" w:rsidRPr="00F92316" w:rsidRDefault="00F05070" w:rsidP="00F05070">
      <w:pPr>
        <w:rPr>
          <w:b/>
          <w:bCs/>
          <w:sz w:val="28"/>
          <w:szCs w:val="28"/>
        </w:rPr>
      </w:pPr>
      <w:r w:rsidRPr="00F92316">
        <w:rPr>
          <w:b/>
          <w:bCs/>
          <w:sz w:val="28"/>
          <w:szCs w:val="28"/>
        </w:rPr>
        <w:t>XIII. Investimet dhe projektet kapitale</w:t>
      </w:r>
    </w:p>
    <w:p w14:paraId="11A2D690" w14:textId="77777777" w:rsidR="00F05070" w:rsidRPr="00F92316" w:rsidRDefault="00F05070" w:rsidP="00F05070">
      <w:r w:rsidRPr="00F92316">
        <w:t>Në pajtim me kërkesat ligjore për raportim tremujor, raporti përfshin edhe përmbledhjen e statusit të projekteve kapitale të shpenzimit.</w:t>
      </w:r>
    </w:p>
    <w:p w14:paraId="2F0E08DD" w14:textId="77777777" w:rsidR="00F05070" w:rsidRDefault="00F05070" w:rsidP="00F05070">
      <w:r w:rsidRPr="00F92316">
        <w:t xml:space="preserve">Gjatë TM1 2026, realizimi i investimeve kapitale është ndikuar nga hyrja me vonesë në fuqi e Ligjit mbi Ndarjet Buxhetore për vitin 2026 dhe nga dinamika e alokimit të mjeteve gjatë fillimit të vitit fiskal. </w:t>
      </w:r>
    </w:p>
    <w:p w14:paraId="4876C2C1" w14:textId="77777777" w:rsidR="00F05070" w:rsidRPr="00F92316" w:rsidRDefault="00F05070" w:rsidP="00F05070">
      <w:r w:rsidRPr="00F92316">
        <w:t>Projektet kapitale gjatë kësaj periudhe kanë qenë në faza të ndryshme të realizimit, duke përfshirë projekte me realizim financiar, projekte në procedurë dhe projekte që kanë pritur krijimin e kushteve të plota buxhetore dhe procedurale për fillimin e implementimit.</w:t>
      </w:r>
    </w:p>
    <w:p w14:paraId="0F1A2FFF" w14:textId="77777777" w:rsidR="00F05070" w:rsidRDefault="00F05070" w:rsidP="00F05070"/>
    <w:p w14:paraId="7AB000DB" w14:textId="77777777" w:rsidR="00F05070" w:rsidRPr="00F92316" w:rsidRDefault="00F05070" w:rsidP="00F05070"/>
    <w:p w14:paraId="4D1DCCBD" w14:textId="77777777" w:rsidR="00F05070" w:rsidRDefault="00F05070" w:rsidP="00F05070">
      <w:r w:rsidRPr="00F4469D">
        <w:rPr>
          <w:noProof/>
        </w:rPr>
        <w:lastRenderedPageBreak/>
        <w:drawing>
          <wp:inline distT="0" distB="0" distL="0" distR="0" wp14:anchorId="72A3484D" wp14:editId="7D19B578">
            <wp:extent cx="5257800" cy="9457264"/>
            <wp:effectExtent l="0" t="0" r="0" b="0"/>
            <wp:docPr id="3689803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5932" cy="9471891"/>
                    </a:xfrm>
                    <a:prstGeom prst="rect">
                      <a:avLst/>
                    </a:prstGeom>
                    <a:noFill/>
                    <a:ln>
                      <a:noFill/>
                    </a:ln>
                  </pic:spPr>
                </pic:pic>
              </a:graphicData>
            </a:graphic>
          </wp:inline>
        </w:drawing>
      </w:r>
    </w:p>
    <w:p w14:paraId="0B44602E" w14:textId="77777777" w:rsidR="00F05070" w:rsidRDefault="00F05070" w:rsidP="00F05070">
      <w:r w:rsidRPr="00485F62">
        <w:lastRenderedPageBreak/>
        <w:t xml:space="preserve">Në kategorinë Investime kapitale / Pasuritë jofinanciare, gjatë TM1 2026 janë realizuar shpenzime në shumë totale prej 451,337.25 euro, që përfaqësojnë 14.07% të buxhetit vjetor prej 3,207,311.00 euro. Nga kjo shumë, 314,428.59 euro lidhen me pagesa për vendime gjyqësore, ndërsa 136,908.66 euro paraqesin realizim të drejtpërdrejtë të projekteve kapitale. Në kuadër të programit 93810 – Arsimi Fillor, Ministria e Financave ka krijuar kodin e veçantë kapital 00040 – “Ekzekutimi i vendimeve gjyqësore (Neni 40 LMFPP)”, me ndarje buxhetore në shumë prej 113,693.39 euro. Kjo shumë është siguruar përmes zvogëlimit të mjeteve nga projekti kapital 53269 – “Ndërtimi i sallës së edukatës fizike në SHFMU ‘Kadri Zeka’”, i cili fillimisht kishte qenë i planifikuar në shumë prej 400,000.00 euro. Megjithatë, nga kjo ndarje nuk ka pasur realizim gjatë TM1 2026, pasi shpenzimi ka filluar në muajin prill dhe për këtë arsye nuk paraqitet në këtë raport. </w:t>
      </w:r>
    </w:p>
    <w:p w14:paraId="592A7F4E" w14:textId="77777777" w:rsidR="00F05070" w:rsidRDefault="00F05070" w:rsidP="00F05070">
      <w:r w:rsidRPr="00485F62">
        <w:t>Paralelisht me këtë, komuna ka vazhduar praktikën e arritjes së pajtimeve gjyqësore me mësimdhënësit, përmes të autorizuarve të tyre, me qëllim të shmangies së kostove shtesë përmbarimore dhe taksave administrative.</w:t>
      </w:r>
    </w:p>
    <w:p w14:paraId="4E62AED3" w14:textId="77777777" w:rsidR="00F05070" w:rsidRPr="00F92316" w:rsidRDefault="00F05070" w:rsidP="00F05070"/>
    <w:p w14:paraId="3AD9A62D" w14:textId="77777777" w:rsidR="00F05070" w:rsidRPr="00485F62" w:rsidRDefault="00F05070" w:rsidP="00F05070">
      <w:pPr>
        <w:rPr>
          <w:b/>
          <w:bCs/>
          <w:sz w:val="28"/>
          <w:szCs w:val="28"/>
        </w:rPr>
      </w:pPr>
      <w:r w:rsidRPr="00485F62">
        <w:rPr>
          <w:b/>
          <w:bCs/>
          <w:sz w:val="28"/>
          <w:szCs w:val="28"/>
        </w:rPr>
        <w:t>XIV. Vlerësimi i përgjithshëm</w:t>
      </w:r>
    </w:p>
    <w:p w14:paraId="4AC8D7CD" w14:textId="77777777" w:rsidR="00F05070" w:rsidRPr="00F92316" w:rsidRDefault="00F05070" w:rsidP="00F05070">
      <w:r w:rsidRPr="00F92316">
        <w:t>Në përgjithësi, realizimi i buxhetit të Komunës së Kaçanikut gjatë TM1 2026 është zhvilluar në kushte jo të zakonshme fiskale, për shkak të hyrjes me vonesë në fuqi të ligjit buxhetor për vitin 2026, zbatimit të regjimit të përkohshëm financiar në fillim të vitit, ndikimit të pagesës së 13-të në kategorinë e pagave dhe shtesave, si dhe vonesës në aktivizimin e ngarkesave për tatimin në pronë.</w:t>
      </w:r>
    </w:p>
    <w:p w14:paraId="160BA9F1" w14:textId="77777777" w:rsidR="00F05070" w:rsidRPr="00F92316" w:rsidRDefault="00F05070" w:rsidP="00F05070">
      <w:r w:rsidRPr="00F92316">
        <w:t>Pavarësisht këtyre rrethanave, komuna ka ruajtur funksionimin financiar, ka vazhduar realizimin e obligimeve sipas prioriteteve institucionale dhe ka krijuar bazën për një dinamikë më të avancuar të ekzekutimit gjatë tremujorëve vijues.</w:t>
      </w:r>
    </w:p>
    <w:p w14:paraId="58834D8E" w14:textId="77777777" w:rsidR="00F05070" w:rsidRPr="00F92316" w:rsidRDefault="00F05070" w:rsidP="00F05070"/>
    <w:p w14:paraId="4043139B" w14:textId="77777777" w:rsidR="00F05070" w:rsidRPr="00F92316" w:rsidRDefault="00F05070" w:rsidP="00F05070">
      <w:pPr>
        <w:rPr>
          <w:b/>
          <w:bCs/>
          <w:sz w:val="28"/>
          <w:szCs w:val="28"/>
        </w:rPr>
      </w:pPr>
      <w:r w:rsidRPr="00F92316">
        <w:rPr>
          <w:b/>
          <w:bCs/>
          <w:sz w:val="28"/>
          <w:szCs w:val="28"/>
        </w:rPr>
        <w:t>XV. Përfundim</w:t>
      </w:r>
    </w:p>
    <w:p w14:paraId="68540509" w14:textId="77777777" w:rsidR="00F05070" w:rsidRDefault="00F05070" w:rsidP="00F05070">
      <w:r>
        <w:t>Raporti Tremujor Financiar për periudhën 01 Janar 2026 – 31 Mars 2026 paraqet gjendjen e përgjithshme të realizimit të buxhetit të Komunës së Kaçanikut gjatë tremujorit të parë të vitit fiskal 2026 dhe i ofrohet Kuvendit Komunal për shqyrtim.</w:t>
      </w:r>
    </w:p>
    <w:p w14:paraId="7A522167" w14:textId="77777777" w:rsidR="00F05070" w:rsidRDefault="00F05070" w:rsidP="00F05070">
      <w:r>
        <w:t xml:space="preserve">Të dhënat e paraqitura në këtë raport dëshmojnë nivelin e realizimit të të hyrave dhe shpenzimeve, ndikimin e faktorëve ligjorë dhe proceduralë në dinamikën e realizimit, si dhe statusin e  projekteve kapitale dhe prioriteteve komunale për këtë periudhë. </w:t>
      </w:r>
    </w:p>
    <w:p w14:paraId="330F0C0C" w14:textId="77777777" w:rsidR="00903FA4" w:rsidRDefault="00903FA4"/>
    <w:sectPr w:rsidR="00903FA4" w:rsidSect="00451359">
      <w:pgSz w:w="11906" w:h="16838"/>
      <w:pgMar w:top="144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E2DDC"/>
    <w:multiLevelType w:val="multilevel"/>
    <w:tmpl w:val="0EA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32B55"/>
    <w:multiLevelType w:val="multilevel"/>
    <w:tmpl w:val="4DF8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56217"/>
    <w:multiLevelType w:val="hybridMultilevel"/>
    <w:tmpl w:val="8CCC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70"/>
    <w:rsid w:val="00057A0A"/>
    <w:rsid w:val="00381AC9"/>
    <w:rsid w:val="003860C3"/>
    <w:rsid w:val="00427C77"/>
    <w:rsid w:val="007723E5"/>
    <w:rsid w:val="00903FA4"/>
    <w:rsid w:val="00F03D20"/>
    <w:rsid w:val="00F0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E386"/>
  <w15:chartTrackingRefBased/>
  <w15:docId w15:val="{E925E9A4-B8C2-4151-8067-14557742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70"/>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070"/>
    <w:pPr>
      <w:ind w:left="720"/>
      <w:contextualSpacing/>
    </w:pPr>
  </w:style>
  <w:style w:type="character" w:styleId="Hyperlink">
    <w:name w:val="Hyperlink"/>
    <w:basedOn w:val="DefaultParagraphFont"/>
    <w:uiPriority w:val="99"/>
    <w:unhideWhenUsed/>
    <w:rsid w:val="00F05070"/>
    <w:rPr>
      <w:color w:val="0563C1" w:themeColor="hyperlink"/>
      <w:u w:val="single"/>
    </w:rPr>
  </w:style>
  <w:style w:type="table" w:styleId="TableGrid">
    <w:name w:val="Table Grid"/>
    <w:basedOn w:val="TableNormal"/>
    <w:uiPriority w:val="39"/>
    <w:rsid w:val="00F05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zk.rks-gov.net/ActDocumentDetail.aspx?ActID=117682" TargetMode="External"/><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7" Type="http://schemas.openxmlformats.org/officeDocument/2006/relationships/hyperlink" Target="https://gzk.rks-gov.net/ActDetail.aspx?ActID=2524" TargetMode="External"/><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emf"/><Relationship Id="rId5" Type="http://schemas.openxmlformats.org/officeDocument/2006/relationships/image" Target="media/image1.jpeg"/><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2392</Words>
  <Characters>13640</Characters>
  <Application>Microsoft Office Word</Application>
  <DocSecurity>0</DocSecurity>
  <Lines>113</Lines>
  <Paragraphs>31</Paragraphs>
  <ScaleCrop>false</ScaleCrop>
  <Company>ASHI</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Valdrin Dogani</dc:creator>
  <cp:keywords/>
  <dc:description/>
  <cp:lastModifiedBy>Valdrin Dogani</cp:lastModifiedBy>
  <cp:revision>5</cp:revision>
  <dcterms:created xsi:type="dcterms:W3CDTF">2026-04-20T08:35:00Z</dcterms:created>
  <dcterms:modified xsi:type="dcterms:W3CDTF">2026-05-06T12:56:00Z</dcterms:modified>
</cp:coreProperties>
</file>