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sz w:val="76"/>
          <w:szCs w:val="72"/>
          <w:lang w:eastAsia="en-US"/>
        </w:rPr>
        <w:id w:val="1608928674"/>
        <w:docPartObj>
          <w:docPartGallery w:val="Cover Pages"/>
          <w:docPartUnique/>
        </w:docPartObj>
      </w:sdtPr>
      <w:sdtEndPr>
        <w:rPr>
          <w:rFonts w:ascii="Times New Roman" w:eastAsia="MS Mincho" w:hAnsi="Times New Roman" w:cs="Times New Roman"/>
          <w:b/>
          <w:bCs/>
          <w:sz w:val="26"/>
          <w:szCs w:val="26"/>
          <w:lang w:val="fr-FR"/>
        </w:rPr>
      </w:sdtEndPr>
      <w:sdtContent>
        <w:tbl>
          <w:tblPr>
            <w:tblpPr w:leftFromText="187" w:rightFromText="187" w:vertAnchor="page" w:horzAnchor="page" w:tblpXSpec="center" w:tblpYSpec="center"/>
            <w:tblW w:w="5000" w:type="pct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 w:firstRow="1" w:lastRow="0" w:firstColumn="1" w:lastColumn="0" w:noHBand="0" w:noVBand="1"/>
          </w:tblPr>
          <w:tblGrid>
            <w:gridCol w:w="4043"/>
            <w:gridCol w:w="4048"/>
            <w:gridCol w:w="3141"/>
          </w:tblGrid>
          <w:tr w:rsidR="00D93B44">
            <w:tc>
              <w:tcPr>
                <w:tcW w:w="3525" w:type="dxa"/>
                <w:tcBorders>
                  <w:bottom w:val="single" w:sz="18" w:space="0" w:color="808080" w:themeColor="background1" w:themeShade="80"/>
                  <w:right w:val="single" w:sz="18" w:space="0" w:color="808080" w:themeColor="background1" w:themeShade="80"/>
                </w:tcBorders>
                <w:vAlign w:val="center"/>
              </w:tcPr>
              <w:p w:rsidR="00D93B44" w:rsidRDefault="009D7E99" w:rsidP="00D93B44">
                <w:pPr>
                  <w:pStyle w:val="NoSpacing"/>
                  <w:rPr>
                    <w:rFonts w:asciiTheme="majorHAnsi" w:eastAsiaTheme="majorEastAsia" w:hAnsiTheme="majorHAnsi" w:cstheme="majorBidi"/>
                    <w:sz w:val="76"/>
                    <w:szCs w:val="72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sz w:val="60"/>
                      <w:szCs w:val="60"/>
                    </w:rPr>
                    <w:alias w:val="Title"/>
                    <w:id w:val="27671317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24690D">
                      <w:rPr>
                        <w:rFonts w:asciiTheme="majorHAnsi" w:eastAsiaTheme="majorEastAsia" w:hAnsiTheme="majorHAnsi" w:cstheme="majorBidi"/>
                        <w:b/>
                        <w:sz w:val="60"/>
                        <w:szCs w:val="60"/>
                      </w:rPr>
                      <w:t>RAPORTI  FINANCIAR</w:t>
                    </w:r>
                  </w:sdtContent>
                </w:sdt>
              </w:p>
            </w:tc>
            <w:tc>
              <w:tcPr>
                <w:tcW w:w="6267" w:type="dxa"/>
                <w:gridSpan w:val="2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p w:rsidR="00D93B44" w:rsidRDefault="00D93B44">
                <w:pPr>
                  <w:pStyle w:val="NoSpacing"/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>Per</w:t>
                </w:r>
                <w:r w:rsidR="00505E97"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 xml:space="preserve">  per</w:t>
                </w:r>
                <w:r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 xml:space="preserve">iudhën:  </w:t>
                </w:r>
                <w:r w:rsidR="00505E97"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>J</w:t>
                </w:r>
                <w:r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>anar –</w:t>
                </w:r>
                <w:r w:rsidR="0097756A"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 xml:space="preserve"> Qershor</w:t>
                </w:r>
              </w:p>
              <w:sdt>
                <w:sdtPr>
                  <w:rPr>
                    <w:color w:val="4F81BD" w:themeColor="accent1"/>
                    <w:sz w:val="100"/>
                    <w:szCs w:val="10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alias w:val="Year"/>
                  <w:id w:val="276713170"/>
                  <w:dataBinding w:prefixMappings="xmlns:ns0='http://schemas.microsoft.com/office/2006/coverPageProps'" w:xpath="/ns0:CoverPageProperties[1]/ns0:PublishDate[1]" w:storeItemID="{55AF091B-3C7A-41E3-B477-F2FDAA23CFDA}"/>
                  <w:date w:fullDate="2023-01-01T00:00:00Z">
                    <w:dateFormat w:val="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p w:rsidR="00D93B44" w:rsidRDefault="0024690D">
                    <w:pPr>
                      <w:pStyle w:val="NoSpacing"/>
                      <w:rPr>
                        <w:color w:val="4F81BD" w:themeColor="accent1"/>
                        <w:sz w:val="200"/>
                        <w:szCs w:val="200"/>
                        <w14:numForm w14:val="oldStyle"/>
                      </w:rPr>
                    </w:pPr>
                    <w:r>
                      <w:rPr>
                        <w:color w:val="4F81BD" w:themeColor="accent1"/>
                        <w:sz w:val="100"/>
                        <w:szCs w:val="10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numForm w14:val="oldStyle"/>
                      </w:rPr>
                      <w:t>2023</w:t>
                    </w:r>
                  </w:p>
                </w:sdtContent>
              </w:sdt>
            </w:tc>
          </w:tr>
          <w:tr w:rsidR="00D93B44">
            <w:sdt>
              <w:sdtPr>
                <w:rPr>
                  <w:rFonts w:asciiTheme="majorHAnsi" w:hAnsiTheme="majorHAnsi"/>
                  <w:sz w:val="30"/>
                  <w:szCs w:val="30"/>
                </w:rPr>
                <w:alias w:val="Abstract"/>
                <w:id w:val="276713183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7054" w:type="dxa"/>
                    <w:gridSpan w:val="2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:rsidR="00D93B44" w:rsidRDefault="00D93B44" w:rsidP="00D93B44">
                    <w:pPr>
                      <w:pStyle w:val="NoSpacing"/>
                    </w:pPr>
                    <w:r w:rsidRPr="00A637B6">
                      <w:rPr>
                        <w:rFonts w:asciiTheme="majorHAnsi" w:hAnsiTheme="majorHAnsi"/>
                        <w:sz w:val="30"/>
                        <w:szCs w:val="30"/>
                      </w:rPr>
                      <w:t xml:space="preserve">DREJTORIA PËR </w:t>
                    </w:r>
                    <w:r w:rsidR="00027066">
                      <w:rPr>
                        <w:rFonts w:asciiTheme="majorHAnsi" w:hAnsiTheme="majorHAnsi"/>
                        <w:sz w:val="30"/>
                        <w:szCs w:val="30"/>
                      </w:rPr>
                      <w:t xml:space="preserve"> BUXHET DHE FINANCA</w:t>
                    </w:r>
                  </w:p>
                </w:tc>
              </w:sdtContent>
            </w:sdt>
            <w:sdt>
              <w:sdtP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alias w:val="Subtitle"/>
                <w:id w:val="276713189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2738" w:type="dxa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:rsidR="00D93B44" w:rsidRPr="006418E2" w:rsidRDefault="00D93B44" w:rsidP="00D93B44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</w:pPr>
                    <w:r w:rsidRPr="006418E2"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t>Për Kuvendin Komunal</w:t>
                    </w:r>
                  </w:p>
                </w:tc>
              </w:sdtContent>
            </w:sdt>
          </w:tr>
        </w:tbl>
        <w:p w:rsidR="00D93B44" w:rsidRDefault="00D93B44"/>
        <w:p w:rsidR="00D93B44" w:rsidRPr="00867FC0" w:rsidRDefault="00D93B44" w:rsidP="00D93B44">
          <w: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  <w:t xml:space="preserve">     </w:t>
          </w:r>
          <w:r>
            <w:t xml:space="preserve">               </w:t>
          </w:r>
          <w:r>
            <w:rPr>
              <w:noProof/>
            </w:rPr>
            <w:drawing>
              <wp:inline distT="0" distB="0" distL="0" distR="0" wp14:anchorId="38CDA425" wp14:editId="441EEEB7">
                <wp:extent cx="1007780" cy="900752"/>
                <wp:effectExtent l="0" t="0" r="1905" b="0"/>
                <wp:docPr id="16" name="Picture 16" descr="Description: stema_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stema_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895" cy="906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                                                                                        </w:t>
          </w:r>
          <w:r>
            <w:rPr>
              <w:b/>
              <w:bCs/>
              <w:lang w:val="sv-SE"/>
            </w:rPr>
            <w:t xml:space="preserve">   </w:t>
          </w:r>
          <w:r w:rsidRPr="00F72496">
            <w:rPr>
              <w:b/>
              <w:noProof/>
              <w:sz w:val="30"/>
              <w:szCs w:val="30"/>
            </w:rPr>
            <w:drawing>
              <wp:inline distT="0" distB="0" distL="0" distR="0" wp14:anchorId="71B8C30F" wp14:editId="58201BD2">
                <wp:extent cx="1008993" cy="819806"/>
                <wp:effectExtent l="0" t="0" r="1270" b="0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8813" cy="82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bCs/>
              <w:lang w:val="sv-SE"/>
            </w:rPr>
            <w:t xml:space="preserve">                                                                                                                                                    </w:t>
          </w:r>
          <w:r>
            <w:rPr>
              <w:rFonts w:ascii="Book Antiqua" w:hAnsi="Book Antiqua" w:cs="Book Antiqua"/>
              <w:b/>
              <w:bCs/>
              <w:sz w:val="40"/>
              <w:szCs w:val="40"/>
              <w:lang w:val="sv-SE"/>
            </w:rPr>
            <w:t xml:space="preserve">        </w:t>
          </w:r>
        </w:p>
        <w:p w:rsidR="00D93B44" w:rsidRPr="007B7816" w:rsidRDefault="00D93B44" w:rsidP="00D93B44">
          <w:pPr>
            <w:rPr>
              <w:rFonts w:ascii="Book Antiqua" w:hAnsi="Book Antiqua" w:cs="Book Antiqua"/>
              <w:b/>
              <w:bCs/>
              <w:sz w:val="20"/>
              <w:szCs w:val="20"/>
              <w:lang w:val="it-IT"/>
            </w:rPr>
          </w:pPr>
          <w:r>
            <w:rPr>
              <w:rFonts w:ascii="Book Antiqua" w:hAnsi="Book Antiqua" w:cs="Book Antiqua"/>
              <w:b/>
              <w:bCs/>
              <w:sz w:val="24"/>
              <w:szCs w:val="24"/>
              <w:lang w:val="sv-SE"/>
            </w:rPr>
            <w:t xml:space="preserve">            </w:t>
          </w:r>
          <w:r w:rsidRPr="00BA72F9">
            <w:rPr>
              <w:rFonts w:ascii="Book Antiqua" w:hAnsi="Book Antiqua" w:cs="Book Antiqua"/>
              <w:b/>
              <w:bCs/>
              <w:sz w:val="24"/>
              <w:szCs w:val="24"/>
              <w:lang w:val="sv-SE"/>
            </w:rPr>
            <w:t xml:space="preserve"> </w:t>
          </w:r>
          <w:r>
            <w:rPr>
              <w:rFonts w:ascii="Book Antiqua" w:hAnsi="Book Antiqua" w:cs="Book Antiqua"/>
              <w:b/>
              <w:bCs/>
              <w:sz w:val="24"/>
              <w:szCs w:val="24"/>
              <w:lang w:val="sv-SE"/>
            </w:rPr>
            <w:t xml:space="preserve">   </w:t>
          </w:r>
          <w:r w:rsidRPr="007B7816">
            <w:rPr>
              <w:rFonts w:ascii="Book Antiqua" w:hAnsi="Book Antiqua" w:cs="Book Antiqua"/>
              <w:b/>
              <w:bCs/>
              <w:sz w:val="20"/>
              <w:szCs w:val="20"/>
              <w:lang w:val="sv-SE"/>
            </w:rPr>
            <w:t xml:space="preserve">Republika e Kosovës                                                                   </w:t>
          </w:r>
          <w:r>
            <w:rPr>
              <w:rFonts w:ascii="Book Antiqua" w:hAnsi="Book Antiqua" w:cs="Book Antiqua"/>
              <w:b/>
              <w:bCs/>
              <w:sz w:val="20"/>
              <w:szCs w:val="20"/>
              <w:lang w:val="sv-SE"/>
            </w:rPr>
            <w:t xml:space="preserve">                            </w:t>
          </w:r>
          <w:r w:rsidRPr="007B7816">
            <w:rPr>
              <w:rFonts w:ascii="Book Antiqua" w:hAnsi="Book Antiqua" w:cs="Book Antiqua"/>
              <w:b/>
              <w:bCs/>
              <w:sz w:val="20"/>
              <w:szCs w:val="20"/>
              <w:lang w:val="it-IT"/>
            </w:rPr>
            <w:t>Komuna e Kaçaniku</w:t>
          </w:r>
        </w:p>
        <w:p w:rsidR="00D93B44" w:rsidRPr="007B7816" w:rsidRDefault="00D93B44" w:rsidP="00D93B44">
          <w:pPr>
            <w:rPr>
              <w:rFonts w:ascii="Book Antiqua" w:hAnsi="Book Antiqua" w:cs="Book Antiqua"/>
              <w:b/>
              <w:bCs/>
              <w:sz w:val="20"/>
              <w:szCs w:val="20"/>
              <w:lang w:val="sv-SE"/>
            </w:rPr>
          </w:pPr>
          <w:r>
            <w:rPr>
              <w:rFonts w:ascii="Book Antiqua" w:eastAsia="Batang" w:hAnsi="Book Antiqua" w:cs="Book Antiqua"/>
              <w:b/>
              <w:bCs/>
              <w:sz w:val="20"/>
              <w:szCs w:val="20"/>
              <w:lang w:val="sv-SE"/>
            </w:rPr>
            <w:t xml:space="preserve">  </w:t>
          </w:r>
          <w:r w:rsidRPr="007B7816">
            <w:rPr>
              <w:rFonts w:ascii="Book Antiqua" w:eastAsia="Batang" w:hAnsi="Book Antiqua" w:cs="Book Antiqua"/>
              <w:b/>
              <w:bCs/>
              <w:sz w:val="20"/>
              <w:szCs w:val="20"/>
              <w:lang w:val="sv-SE"/>
            </w:rPr>
            <w:t>Republika Kosova-</w:t>
          </w:r>
          <w:r w:rsidRPr="007B7816">
            <w:rPr>
              <w:rFonts w:ascii="Book Antiqua" w:hAnsi="Book Antiqua" w:cs="Book Antiqua"/>
              <w:b/>
              <w:bCs/>
              <w:sz w:val="20"/>
              <w:szCs w:val="20"/>
              <w:lang w:val="sv-SE"/>
            </w:rPr>
            <w:t xml:space="preserve">Republic of Kosovo                              </w:t>
          </w:r>
          <w:r>
            <w:rPr>
              <w:rFonts w:ascii="Book Antiqua" w:hAnsi="Book Antiqua" w:cs="Book Antiqua"/>
              <w:b/>
              <w:bCs/>
              <w:sz w:val="20"/>
              <w:szCs w:val="20"/>
              <w:lang w:val="sv-SE"/>
            </w:rPr>
            <w:t xml:space="preserve">                              </w:t>
          </w:r>
          <w:r w:rsidRPr="007B7816">
            <w:rPr>
              <w:rFonts w:ascii="Book Antiqua" w:hAnsi="Book Antiqua" w:cs="Book Antiqua"/>
              <w:b/>
              <w:bCs/>
              <w:sz w:val="20"/>
              <w:szCs w:val="20"/>
              <w:lang w:val="sv-SE"/>
            </w:rPr>
            <w:t xml:space="preserve"> </w:t>
          </w:r>
          <w:r w:rsidRPr="007B7816">
            <w:rPr>
              <w:rFonts w:ascii="Book Antiqua" w:eastAsia="Batang" w:hAnsi="Book Antiqua" w:cs="Book Antiqua"/>
              <w:b/>
              <w:bCs/>
              <w:sz w:val="20"/>
              <w:szCs w:val="20"/>
              <w:lang w:val="it-IT"/>
            </w:rPr>
            <w:t>Opština  Kacanik – Municipal Kaçanik</w:t>
          </w:r>
        </w:p>
        <w:p w:rsidR="00D93B44" w:rsidRDefault="00D93B44">
          <w:pP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  <w: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  <w:t xml:space="preserve">                                                                                          </w:t>
          </w:r>
        </w:p>
        <w:p w:rsidR="00D93B44" w:rsidRDefault="00D93B44">
          <w:pP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</w:p>
        <w:p w:rsidR="00D93B44" w:rsidRDefault="00D93B44">
          <w:pP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</w:p>
        <w:p w:rsidR="00D93B44" w:rsidRDefault="00D93B44">
          <w:pP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</w:p>
        <w:p w:rsidR="00D93B44" w:rsidRDefault="00D93B44">
          <w:pP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</w:p>
        <w:p w:rsidR="00CD4F9A" w:rsidRDefault="00CD4F9A">
          <w:pP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</w:p>
        <w:p w:rsidR="00B1786F" w:rsidRDefault="00B1786F">
          <w:pP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  <w: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  <w:t>Kryetari i komunës :</w:t>
          </w:r>
        </w:p>
        <w:p w:rsidR="00D93B44" w:rsidRDefault="00B1786F">
          <w:pP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  <w: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  <w:t>Besim Ilazi _____________</w:t>
          </w:r>
        </w:p>
        <w:p w:rsidR="00021C50" w:rsidRDefault="00021C50" w:rsidP="00505E97">
          <w:pPr>
            <w:jc w:val="center"/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</w:p>
        <w:p w:rsidR="00B1786F" w:rsidRDefault="00B1786F" w:rsidP="00622225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  <w:lang w:val="fr-FR"/>
            </w:rPr>
          </w:pPr>
        </w:p>
        <w:p w:rsidR="00D93B44" w:rsidRDefault="0097756A" w:rsidP="00622225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  <w:lang w:val="fr-FR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  <w:lang w:val="fr-FR"/>
            </w:rPr>
            <w:t>Kaçanik, Korrik</w:t>
          </w:r>
          <w:r w:rsidR="00704EB9">
            <w:rPr>
              <w:rFonts w:ascii="Times New Roman" w:hAnsi="Times New Roman" w:cs="Times New Roman"/>
              <w:b/>
              <w:bCs/>
              <w:sz w:val="20"/>
              <w:szCs w:val="20"/>
              <w:lang w:val="fr-FR"/>
            </w:rPr>
            <w:t xml:space="preserve"> </w:t>
          </w:r>
          <w:r w:rsidR="00CB04BD">
            <w:rPr>
              <w:rFonts w:ascii="Times New Roman" w:hAnsi="Times New Roman" w:cs="Times New Roman"/>
              <w:b/>
              <w:bCs/>
              <w:sz w:val="20"/>
              <w:szCs w:val="20"/>
              <w:lang w:val="fr-FR"/>
            </w:rPr>
            <w:t>–</w:t>
          </w:r>
          <w:r w:rsidR="0024690D">
            <w:rPr>
              <w:rFonts w:ascii="Times New Roman" w:hAnsi="Times New Roman" w:cs="Times New Roman"/>
              <w:b/>
              <w:bCs/>
              <w:sz w:val="20"/>
              <w:szCs w:val="20"/>
              <w:lang w:val="fr-FR"/>
            </w:rPr>
            <w:t xml:space="preserve"> 2023</w:t>
          </w:r>
        </w:p>
        <w:p w:rsidR="00CB04BD" w:rsidRDefault="00CB04BD" w:rsidP="00622225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  <w:lang w:val="fr-FR"/>
            </w:rPr>
          </w:pPr>
        </w:p>
        <w:p w:rsidR="00CB04BD" w:rsidRPr="00CD4F9A" w:rsidRDefault="00CB04BD" w:rsidP="00622225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  <w:lang w:val="fr-FR"/>
            </w:rPr>
          </w:pPr>
        </w:p>
        <w:p w:rsidR="00D93B44" w:rsidRDefault="00D93B44">
          <w:pP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</w:p>
        <w:p w:rsidR="002C1795" w:rsidRPr="008F1B89" w:rsidRDefault="002C1795" w:rsidP="00C45667">
          <w:pPr>
            <w:rPr>
              <w:lang w:val="sq-AL"/>
            </w:rPr>
          </w:pPr>
        </w:p>
        <w:p w:rsidR="002C1795" w:rsidRPr="002259B5" w:rsidRDefault="002C1795" w:rsidP="001B692F">
          <w:pPr>
            <w:pStyle w:val="ListParagraph"/>
            <w:numPr>
              <w:ilvl w:val="0"/>
              <w:numId w:val="15"/>
            </w:numPr>
            <w:rPr>
              <w:b/>
              <w:sz w:val="28"/>
              <w:szCs w:val="28"/>
              <w:lang w:val="sq-AL"/>
            </w:rPr>
          </w:pPr>
          <w:r w:rsidRPr="002259B5">
            <w:rPr>
              <w:b/>
              <w:sz w:val="28"/>
              <w:szCs w:val="28"/>
              <w:lang w:val="sq-AL"/>
            </w:rPr>
            <w:lastRenderedPageBreak/>
            <w:t xml:space="preserve">Raporti i Buxhetit </w:t>
          </w:r>
          <w:r w:rsidR="004E7FDE">
            <w:rPr>
              <w:b/>
              <w:sz w:val="28"/>
              <w:szCs w:val="28"/>
              <w:lang w:val="sq-AL"/>
            </w:rPr>
            <w:t xml:space="preserve"> </w:t>
          </w:r>
          <w:r w:rsidRPr="002259B5">
            <w:rPr>
              <w:b/>
              <w:sz w:val="28"/>
              <w:szCs w:val="28"/>
              <w:lang w:val="sq-AL"/>
            </w:rPr>
            <w:t>Komun</w:t>
          </w:r>
          <w:r w:rsidR="00A743DD" w:rsidRPr="002259B5">
            <w:rPr>
              <w:b/>
              <w:sz w:val="28"/>
              <w:szCs w:val="28"/>
              <w:lang w:val="sq-AL"/>
            </w:rPr>
            <w:t>al p</w:t>
          </w:r>
          <w:r w:rsidR="00A0459C">
            <w:rPr>
              <w:b/>
              <w:sz w:val="28"/>
              <w:szCs w:val="28"/>
              <w:lang w:val="sq-AL"/>
            </w:rPr>
            <w:t>ër periudhën  Janar – Qershor</w:t>
          </w:r>
          <w:r w:rsidR="0024690D">
            <w:rPr>
              <w:b/>
              <w:sz w:val="28"/>
              <w:szCs w:val="28"/>
              <w:lang w:val="sq-AL"/>
            </w:rPr>
            <w:t xml:space="preserve">  2023</w:t>
          </w:r>
          <w:r w:rsidRPr="002259B5">
            <w:rPr>
              <w:b/>
              <w:sz w:val="28"/>
              <w:szCs w:val="28"/>
              <w:lang w:val="sq-AL"/>
            </w:rPr>
            <w:t>:</w:t>
          </w:r>
        </w:p>
        <w:p w:rsidR="001B692F" w:rsidRPr="001B692F" w:rsidRDefault="001B692F" w:rsidP="001B692F">
          <w:pPr>
            <w:rPr>
              <w:b/>
              <w:sz w:val="24"/>
              <w:szCs w:val="24"/>
              <w:lang w:val="sq-AL"/>
            </w:rPr>
          </w:pPr>
        </w:p>
        <w:p w:rsidR="002C1795" w:rsidRDefault="002C1795" w:rsidP="008F1B89">
          <w:pPr>
            <w:autoSpaceDE w:val="0"/>
            <w:autoSpaceDN w:val="0"/>
            <w:adjustRightInd w:val="0"/>
            <w:spacing w:after="0"/>
            <w:jc w:val="both"/>
            <w:rPr>
              <w:rFonts w:cstheme="minorHAnsi"/>
            </w:rPr>
          </w:pPr>
          <w:r w:rsidRPr="002C1795">
            <w:rPr>
              <w:rFonts w:cstheme="minorHAnsi"/>
            </w:rPr>
            <w:t>Raporti i Buxhetit Komunal për periud</w:t>
          </w:r>
          <w:r w:rsidR="00A0459C">
            <w:rPr>
              <w:rFonts w:cstheme="minorHAnsi"/>
            </w:rPr>
            <w:t>hën Janar – Qershor</w:t>
          </w:r>
          <w:r w:rsidR="0024690D">
            <w:rPr>
              <w:rFonts w:cstheme="minorHAnsi"/>
            </w:rPr>
            <w:t xml:space="preserve"> 2023</w:t>
          </w:r>
          <w:r>
            <w:rPr>
              <w:rFonts w:cstheme="minorHAnsi"/>
            </w:rPr>
            <w:t xml:space="preserve"> </w:t>
          </w:r>
          <w:r w:rsidRPr="002C1795">
            <w:rPr>
              <w:rFonts w:cstheme="minorHAnsi"/>
            </w:rPr>
            <w:t>ka për qëllim të informimit</w:t>
          </w:r>
          <w:r w:rsidR="004E7FDE">
            <w:rPr>
              <w:rFonts w:cstheme="minorHAnsi"/>
            </w:rPr>
            <w:t xml:space="preserve"> </w:t>
          </w:r>
          <w:r w:rsidRPr="002C1795">
            <w:rPr>
              <w:rFonts w:cstheme="minorHAnsi"/>
            </w:rPr>
            <w:t xml:space="preserve"> objektiv lidhur me ecurinë dhe me treguesit relevant rreth përmbushjes së planit të grumbullimit të mjeteve sipas burimeve, përmbushjes së obligimeve të planifikuara sipas plan programeve, dinamikën e mjeteve të shpenzuara dhe atë sipas natyrës së shpenzimeve dhe kategorive të përcaktuara buxhetore, rrjedhën e parasë si dhe treguesit tjerë që kanë ndikuar në rezultatet e përgjithshme për këtë periudhë. </w:t>
          </w:r>
          <w:r>
            <w:rPr>
              <w:rFonts w:cstheme="minorHAnsi"/>
            </w:rPr>
            <w:t xml:space="preserve">   </w:t>
          </w:r>
          <w:r w:rsidRPr="002C1795">
            <w:rPr>
              <w:rFonts w:cstheme="minorHAnsi"/>
            </w:rPr>
            <w:t>Ecuria e përgjithshme e këtyre tregues</w:t>
          </w:r>
          <w:r w:rsidR="002259B5">
            <w:rPr>
              <w:rFonts w:cstheme="minorHAnsi"/>
            </w:rPr>
            <w:t>ë</w:t>
          </w:r>
          <w:r w:rsidRPr="002C1795">
            <w:rPr>
              <w:rFonts w:cstheme="minorHAnsi"/>
            </w:rPr>
            <w:t xml:space="preserve">ve do të prezantohet për  </w:t>
          </w:r>
          <w:r w:rsidR="00EB35AE">
            <w:rPr>
              <w:rFonts w:cstheme="minorHAnsi"/>
            </w:rPr>
            <w:t>12</w:t>
          </w:r>
          <w:r>
            <w:rPr>
              <w:rFonts w:cstheme="minorHAnsi"/>
            </w:rPr>
            <w:t xml:space="preserve"> </w:t>
          </w:r>
          <w:r w:rsidR="008F1B89">
            <w:rPr>
              <w:rFonts w:cstheme="minorHAnsi"/>
            </w:rPr>
            <w:t>(</w:t>
          </w:r>
          <w:r w:rsidR="00EB35AE">
            <w:rPr>
              <w:rFonts w:cstheme="minorHAnsi"/>
            </w:rPr>
            <w:t>dymbë</w:t>
          </w:r>
          <w:r w:rsidR="00C67F56">
            <w:rPr>
              <w:rFonts w:cstheme="minorHAnsi"/>
            </w:rPr>
            <w:t>dhjetë)  programet buxhetore</w:t>
          </w:r>
          <w:r w:rsidRPr="002C1795">
            <w:rPr>
              <w:rFonts w:cstheme="minorHAnsi"/>
            </w:rPr>
            <w:t>:</w:t>
          </w:r>
        </w:p>
        <w:p w:rsidR="00C67F56" w:rsidRDefault="00C67F56" w:rsidP="008F1B89">
          <w:pPr>
            <w:autoSpaceDE w:val="0"/>
            <w:autoSpaceDN w:val="0"/>
            <w:adjustRightInd w:val="0"/>
            <w:spacing w:after="0"/>
            <w:jc w:val="both"/>
            <w:rPr>
              <w:rFonts w:cstheme="minorHAnsi"/>
            </w:rPr>
          </w:pPr>
        </w:p>
        <w:p w:rsidR="00C67F56" w:rsidRDefault="00C67F56" w:rsidP="008F1B89">
          <w:pPr>
            <w:autoSpaceDE w:val="0"/>
            <w:autoSpaceDN w:val="0"/>
            <w:adjustRightInd w:val="0"/>
            <w:spacing w:after="0"/>
            <w:jc w:val="both"/>
            <w:rPr>
              <w:rFonts w:cstheme="minorHAnsi"/>
            </w:rPr>
          </w:pPr>
        </w:p>
        <w:p w:rsidR="00C67F56" w:rsidRDefault="00C67F56" w:rsidP="008F1B89">
          <w:pPr>
            <w:autoSpaceDE w:val="0"/>
            <w:autoSpaceDN w:val="0"/>
            <w:adjustRightInd w:val="0"/>
            <w:spacing w:after="0"/>
            <w:jc w:val="both"/>
            <w:rPr>
              <w:rFonts w:cstheme="minorHAnsi"/>
            </w:rPr>
          </w:pPr>
        </w:p>
        <w:p w:rsidR="002356D8" w:rsidRDefault="002356D8" w:rsidP="008F1B89">
          <w:pPr>
            <w:autoSpaceDE w:val="0"/>
            <w:autoSpaceDN w:val="0"/>
            <w:adjustRightInd w:val="0"/>
            <w:spacing w:after="0"/>
            <w:jc w:val="both"/>
            <w:rPr>
              <w:rFonts w:cstheme="minorHAnsi"/>
            </w:rPr>
          </w:pPr>
        </w:p>
        <w:p w:rsidR="008F1B89" w:rsidRDefault="008F1B89" w:rsidP="008F1B89">
          <w:pPr>
            <w:autoSpaceDE w:val="0"/>
            <w:autoSpaceDN w:val="0"/>
            <w:adjustRightInd w:val="0"/>
            <w:spacing w:after="0"/>
            <w:jc w:val="both"/>
            <w:rPr>
              <w:rFonts w:cstheme="minorHAnsi"/>
            </w:rPr>
          </w:pPr>
        </w:p>
        <w:p w:rsidR="002C1795" w:rsidRDefault="002C1795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r>
            <w:rPr>
              <w:rFonts w:cstheme="minorHAnsi"/>
            </w:rPr>
            <w:t xml:space="preserve">Zyra e Kryetarit, </w:t>
          </w:r>
        </w:p>
        <w:p w:rsidR="001B692F" w:rsidRDefault="001B692F" w:rsidP="001B692F">
          <w:pPr>
            <w:pStyle w:val="ListParagraph"/>
            <w:autoSpaceDE w:val="0"/>
            <w:autoSpaceDN w:val="0"/>
            <w:adjustRightInd w:val="0"/>
            <w:spacing w:after="0"/>
            <w:rPr>
              <w:rFonts w:cstheme="minorHAnsi"/>
            </w:rPr>
          </w:pPr>
        </w:p>
        <w:p w:rsidR="002C1795" w:rsidRDefault="00595620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r>
            <w:rPr>
              <w:rFonts w:cstheme="minorHAnsi"/>
            </w:rPr>
            <w:t xml:space="preserve">Administrata e Përgjithshme dhe Çështjet Gjinore, </w:t>
          </w:r>
        </w:p>
        <w:p w:rsidR="001B692F" w:rsidRDefault="001B692F" w:rsidP="001B692F">
          <w:pPr>
            <w:pStyle w:val="ListParagraph"/>
            <w:autoSpaceDE w:val="0"/>
            <w:autoSpaceDN w:val="0"/>
            <w:adjustRightInd w:val="0"/>
            <w:spacing w:after="0"/>
            <w:rPr>
              <w:rFonts w:cstheme="minorHAnsi"/>
            </w:rPr>
          </w:pPr>
        </w:p>
        <w:p w:rsidR="002C1795" w:rsidRDefault="002C1795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r>
            <w:rPr>
              <w:rFonts w:cstheme="minorHAnsi"/>
            </w:rPr>
            <w:t xml:space="preserve">Zyra e Kuvendit Komunal, </w:t>
          </w:r>
        </w:p>
        <w:p w:rsidR="001B692F" w:rsidRDefault="001B692F" w:rsidP="001B692F">
          <w:pPr>
            <w:pStyle w:val="ListParagraph"/>
            <w:autoSpaceDE w:val="0"/>
            <w:autoSpaceDN w:val="0"/>
            <w:adjustRightInd w:val="0"/>
            <w:spacing w:after="0"/>
            <w:rPr>
              <w:rFonts w:cstheme="minorHAnsi"/>
            </w:rPr>
          </w:pPr>
        </w:p>
        <w:p w:rsidR="002C1795" w:rsidRDefault="00595620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r>
            <w:rPr>
              <w:rFonts w:cstheme="minorHAnsi"/>
            </w:rPr>
            <w:t>Buxhet</w:t>
          </w:r>
          <w:r w:rsidR="00A41E4A">
            <w:rPr>
              <w:rFonts w:cstheme="minorHAnsi"/>
            </w:rPr>
            <w:t xml:space="preserve"> dhe Financa</w:t>
          </w:r>
          <w:r>
            <w:rPr>
              <w:rFonts w:cstheme="minorHAnsi"/>
            </w:rPr>
            <w:t>,</w:t>
          </w:r>
        </w:p>
        <w:p w:rsidR="00A41E4A" w:rsidRPr="00A41E4A" w:rsidRDefault="00A41E4A" w:rsidP="00A41E4A">
          <w:pPr>
            <w:pStyle w:val="ListParagraph"/>
            <w:rPr>
              <w:rFonts w:cstheme="minorHAnsi"/>
            </w:rPr>
          </w:pPr>
        </w:p>
        <w:p w:rsidR="00A41E4A" w:rsidRDefault="00A41E4A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r>
            <w:rPr>
              <w:rFonts w:cstheme="minorHAnsi"/>
            </w:rPr>
            <w:t>Zhvillim Ekonomik dhe Turizëm,</w:t>
          </w:r>
        </w:p>
        <w:p w:rsidR="001B692F" w:rsidRDefault="001B692F" w:rsidP="001B692F">
          <w:pPr>
            <w:pStyle w:val="ListParagraph"/>
            <w:autoSpaceDE w:val="0"/>
            <w:autoSpaceDN w:val="0"/>
            <w:adjustRightInd w:val="0"/>
            <w:spacing w:after="0"/>
            <w:rPr>
              <w:rFonts w:cstheme="minorHAnsi"/>
            </w:rPr>
          </w:pPr>
        </w:p>
        <w:p w:rsidR="002C1795" w:rsidRDefault="002C1795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r>
            <w:rPr>
              <w:rFonts w:cstheme="minorHAnsi"/>
            </w:rPr>
            <w:t>Shërbimet</w:t>
          </w:r>
          <w:r w:rsidR="004E7FDE">
            <w:rPr>
              <w:rFonts w:cstheme="minorHAnsi"/>
            </w:rPr>
            <w:t xml:space="preserve"> </w:t>
          </w:r>
          <w:r w:rsidR="00595620">
            <w:rPr>
              <w:rFonts w:cstheme="minorHAnsi"/>
            </w:rPr>
            <w:t xml:space="preserve"> Publike, Mbrojtje Civile </w:t>
          </w:r>
          <w:r>
            <w:rPr>
              <w:rFonts w:cstheme="minorHAnsi"/>
            </w:rPr>
            <w:t>dhe Emergjencat,</w:t>
          </w:r>
        </w:p>
        <w:p w:rsidR="001B692F" w:rsidRDefault="001B692F" w:rsidP="001B692F">
          <w:pPr>
            <w:pStyle w:val="ListParagraph"/>
            <w:autoSpaceDE w:val="0"/>
            <w:autoSpaceDN w:val="0"/>
            <w:adjustRightInd w:val="0"/>
            <w:spacing w:after="0"/>
            <w:rPr>
              <w:rFonts w:cstheme="minorHAnsi"/>
            </w:rPr>
          </w:pPr>
        </w:p>
        <w:p w:rsidR="002C1795" w:rsidRDefault="002C1795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r>
            <w:rPr>
              <w:rFonts w:cstheme="minorHAnsi"/>
            </w:rPr>
            <w:t>Bujqësia, Pylltaria dhe Zhvillimi Rural,</w:t>
          </w:r>
        </w:p>
        <w:p w:rsidR="001B692F" w:rsidRDefault="001B692F" w:rsidP="001B692F">
          <w:pPr>
            <w:pStyle w:val="ListParagraph"/>
            <w:autoSpaceDE w:val="0"/>
            <w:autoSpaceDN w:val="0"/>
            <w:adjustRightInd w:val="0"/>
            <w:spacing w:after="0"/>
            <w:rPr>
              <w:rFonts w:cstheme="minorHAnsi"/>
            </w:rPr>
          </w:pPr>
        </w:p>
        <w:p w:rsidR="002C1795" w:rsidRDefault="002C1795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r>
            <w:rPr>
              <w:rFonts w:cstheme="minorHAnsi"/>
            </w:rPr>
            <w:t xml:space="preserve">Planifikimi </w:t>
          </w:r>
          <w:r w:rsidR="004E7FDE">
            <w:rPr>
              <w:rFonts w:cstheme="minorHAnsi"/>
            </w:rPr>
            <w:t xml:space="preserve"> </w:t>
          </w:r>
          <w:r>
            <w:rPr>
              <w:rFonts w:cstheme="minorHAnsi"/>
            </w:rPr>
            <w:t>Urban dhe Mjedisi,</w:t>
          </w:r>
        </w:p>
        <w:p w:rsidR="001B692F" w:rsidRDefault="001B692F" w:rsidP="001B692F">
          <w:pPr>
            <w:pStyle w:val="ListParagraph"/>
            <w:autoSpaceDE w:val="0"/>
            <w:autoSpaceDN w:val="0"/>
            <w:adjustRightInd w:val="0"/>
            <w:spacing w:after="0"/>
            <w:rPr>
              <w:rFonts w:cstheme="minorHAnsi"/>
            </w:rPr>
          </w:pPr>
        </w:p>
        <w:p w:rsidR="002C1795" w:rsidRDefault="002C1795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r>
            <w:rPr>
              <w:rFonts w:cstheme="minorHAnsi"/>
            </w:rPr>
            <w:t>Shëndetësia dhe Mirëqenia Sociale,</w:t>
          </w:r>
        </w:p>
        <w:p w:rsidR="001B692F" w:rsidRDefault="001B692F" w:rsidP="001B692F">
          <w:pPr>
            <w:pStyle w:val="ListParagraph"/>
            <w:autoSpaceDE w:val="0"/>
            <w:autoSpaceDN w:val="0"/>
            <w:adjustRightInd w:val="0"/>
            <w:spacing w:after="0"/>
            <w:rPr>
              <w:rFonts w:cstheme="minorHAnsi"/>
            </w:rPr>
          </w:pPr>
        </w:p>
        <w:p w:rsidR="002C1795" w:rsidRDefault="001B42B6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r>
            <w:rPr>
              <w:rFonts w:cstheme="minorHAnsi"/>
            </w:rPr>
            <w:t>Arsim,</w:t>
          </w:r>
        </w:p>
        <w:p w:rsidR="001B42B6" w:rsidRPr="001B42B6" w:rsidRDefault="001B42B6" w:rsidP="001B42B6">
          <w:pPr>
            <w:pStyle w:val="ListParagraph"/>
            <w:rPr>
              <w:rFonts w:cstheme="minorHAnsi"/>
            </w:rPr>
          </w:pPr>
        </w:p>
        <w:p w:rsidR="001B42B6" w:rsidRDefault="001B42B6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r>
            <w:rPr>
              <w:rFonts w:cstheme="minorHAnsi"/>
            </w:rPr>
            <w:t>Kulturë,Rini dhe Sport,</w:t>
          </w:r>
        </w:p>
        <w:p w:rsidR="001B692F" w:rsidRDefault="001B692F" w:rsidP="001B692F">
          <w:pPr>
            <w:pStyle w:val="ListParagraph"/>
            <w:autoSpaceDE w:val="0"/>
            <w:autoSpaceDN w:val="0"/>
            <w:adjustRightInd w:val="0"/>
            <w:spacing w:after="0"/>
            <w:rPr>
              <w:rFonts w:cstheme="minorHAnsi"/>
            </w:rPr>
          </w:pPr>
        </w:p>
        <w:p w:rsidR="002C1795" w:rsidRPr="002C1795" w:rsidRDefault="004D49FC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r>
            <w:rPr>
              <w:rFonts w:cstheme="minorHAnsi"/>
            </w:rPr>
            <w:t xml:space="preserve">Zyra Lokale për Komunitete. </w:t>
          </w:r>
        </w:p>
        <w:p w:rsidR="000D3CEB" w:rsidRDefault="009D7E99" w:rsidP="00C45667">
          <w:pP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</w:p>
      </w:sdtContent>
    </w:sdt>
    <w:p w:rsidR="004F1C5A" w:rsidRDefault="00867FC0">
      <w:pPr>
        <w:rPr>
          <w:b/>
          <w:bCs/>
          <w:lang w:val="sv-SE"/>
        </w:rPr>
      </w:pPr>
      <w:r>
        <w:t xml:space="preserve">                                                                  </w:t>
      </w:r>
      <w:r>
        <w:rPr>
          <w:b/>
          <w:bCs/>
          <w:lang w:val="sv-SE"/>
        </w:rPr>
        <w:t xml:space="preserve">                          </w:t>
      </w:r>
    </w:p>
    <w:p w:rsidR="004F1C5A" w:rsidRDefault="004F1C5A">
      <w:pPr>
        <w:rPr>
          <w:b/>
          <w:bCs/>
          <w:lang w:val="sv-SE"/>
        </w:rPr>
      </w:pPr>
    </w:p>
    <w:p w:rsidR="00A878A2" w:rsidRPr="00C45667" w:rsidRDefault="00867FC0">
      <w:pPr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>
        <w:rPr>
          <w:b/>
          <w:bCs/>
          <w:lang w:val="sv-SE"/>
        </w:rPr>
        <w:t xml:space="preserve">                                                               </w:t>
      </w:r>
      <w:r w:rsidR="00C45667">
        <w:rPr>
          <w:b/>
          <w:bCs/>
          <w:lang w:val="sv-SE"/>
        </w:rPr>
        <w:t xml:space="preserve">                          </w:t>
      </w:r>
    </w:p>
    <w:p w:rsidR="00867FC0" w:rsidRDefault="00B77795">
      <w:r w:rsidRPr="00B77795">
        <w:lastRenderedPageBreak/>
        <w:drawing>
          <wp:inline distT="0" distB="0" distL="0" distR="0">
            <wp:extent cx="6858000" cy="3688708"/>
            <wp:effectExtent l="0" t="0" r="0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688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54E" w:rsidRPr="004F1C5A" w:rsidRDefault="0009354E" w:rsidP="004F1C5A">
      <w:pPr>
        <w:jc w:val="both"/>
        <w:rPr>
          <w:rFonts w:cstheme="minorHAnsi"/>
          <w:lang w:val="sq-AL"/>
        </w:rPr>
      </w:pPr>
    </w:p>
    <w:p w:rsidR="004F1C5A" w:rsidRDefault="00FD6529" w:rsidP="00F20479">
      <w:pPr>
        <w:pStyle w:val="ListParagraph"/>
        <w:numPr>
          <w:ilvl w:val="0"/>
          <w:numId w:val="16"/>
        </w:numPr>
        <w:jc w:val="both"/>
        <w:rPr>
          <w:color w:val="000000" w:themeColor="text1"/>
          <w:lang w:val="sq-AL"/>
        </w:rPr>
      </w:pPr>
      <w:r w:rsidRPr="0037371E">
        <w:rPr>
          <w:color w:val="000000" w:themeColor="text1"/>
          <w:lang w:val="sq-AL"/>
        </w:rPr>
        <w:t xml:space="preserve">Buxheti </w:t>
      </w:r>
      <w:r w:rsidR="004F1C5A" w:rsidRPr="0037371E">
        <w:rPr>
          <w:color w:val="000000" w:themeColor="text1"/>
          <w:lang w:val="sq-AL"/>
        </w:rPr>
        <w:t>i miratuar për Komu</w:t>
      </w:r>
      <w:r w:rsidR="00B7232F">
        <w:rPr>
          <w:color w:val="000000" w:themeColor="text1"/>
          <w:lang w:val="sq-AL"/>
        </w:rPr>
        <w:t xml:space="preserve">nën e </w:t>
      </w:r>
      <w:r w:rsidR="000C38DA">
        <w:rPr>
          <w:color w:val="000000" w:themeColor="text1"/>
          <w:lang w:val="sq-AL"/>
        </w:rPr>
        <w:t>Kaçanikut  per vitin 2023</w:t>
      </w:r>
      <w:r w:rsidR="008129B8">
        <w:rPr>
          <w:color w:val="000000" w:themeColor="text1"/>
          <w:lang w:val="sq-AL"/>
        </w:rPr>
        <w:t xml:space="preserve"> </w:t>
      </w:r>
      <w:r w:rsidR="004F1C5A" w:rsidRPr="0037371E">
        <w:rPr>
          <w:color w:val="000000" w:themeColor="text1"/>
          <w:lang w:val="sq-AL"/>
        </w:rPr>
        <w:t xml:space="preserve"> është në shumë prej: </w:t>
      </w:r>
      <w:r w:rsidR="000C38DA">
        <w:rPr>
          <w:b/>
          <w:color w:val="000000" w:themeColor="text1"/>
          <w:lang w:val="sq-AL"/>
        </w:rPr>
        <w:t>10,674,689</w:t>
      </w:r>
      <w:r w:rsidR="0037371E" w:rsidRPr="0037371E">
        <w:rPr>
          <w:b/>
          <w:color w:val="000000" w:themeColor="text1"/>
          <w:lang w:val="sq-AL"/>
        </w:rPr>
        <w:t xml:space="preserve">.00 </w:t>
      </w:r>
      <w:r w:rsidRPr="0037371E">
        <w:rPr>
          <w:rFonts w:cstheme="minorHAnsi"/>
          <w:b/>
          <w:color w:val="000000" w:themeColor="text1"/>
          <w:lang w:val="sq-AL"/>
        </w:rPr>
        <w:t>€</w:t>
      </w:r>
      <w:r w:rsidR="004F1C5A" w:rsidRPr="0037371E">
        <w:rPr>
          <w:rFonts w:cstheme="minorHAnsi"/>
          <w:b/>
          <w:color w:val="000000" w:themeColor="text1"/>
          <w:lang w:val="sq-AL"/>
        </w:rPr>
        <w:t xml:space="preserve"> </w:t>
      </w:r>
      <w:r w:rsidRPr="0037371E">
        <w:rPr>
          <w:color w:val="000000" w:themeColor="text1"/>
          <w:lang w:val="sq-AL"/>
        </w:rPr>
        <w:t xml:space="preserve"> </w:t>
      </w:r>
    </w:p>
    <w:p w:rsidR="009B15E8" w:rsidRDefault="009B15E8" w:rsidP="009B15E8">
      <w:pPr>
        <w:pStyle w:val="ListParagraph"/>
        <w:jc w:val="both"/>
        <w:rPr>
          <w:color w:val="000000" w:themeColor="text1"/>
          <w:lang w:val="sq-AL"/>
        </w:rPr>
      </w:pPr>
    </w:p>
    <w:p w:rsidR="009B15E8" w:rsidRPr="00F20479" w:rsidRDefault="009B15E8" w:rsidP="009B15E8">
      <w:pPr>
        <w:pStyle w:val="ListParagraph"/>
        <w:numPr>
          <w:ilvl w:val="0"/>
          <w:numId w:val="16"/>
        </w:numPr>
        <w:jc w:val="both"/>
        <w:rPr>
          <w:color w:val="000000" w:themeColor="text1"/>
          <w:lang w:val="sq-AL"/>
        </w:rPr>
      </w:pPr>
      <w:r>
        <w:rPr>
          <w:color w:val="000000" w:themeColor="text1"/>
          <w:lang w:val="sq-AL"/>
        </w:rPr>
        <w:t xml:space="preserve">Shuma e Buxhetit aktual ka arritur ne 11,178,263.91 </w:t>
      </w:r>
      <w:r>
        <w:rPr>
          <w:rFonts w:cstheme="minorHAnsi"/>
          <w:color w:val="000000" w:themeColor="text1"/>
          <w:lang w:val="sq-AL"/>
        </w:rPr>
        <w:t>€</w:t>
      </w:r>
      <w:r>
        <w:rPr>
          <w:color w:val="000000" w:themeColor="text1"/>
          <w:lang w:val="sq-AL"/>
        </w:rPr>
        <w:t xml:space="preserve"> pas procesit te bartjes se te hyrave vetanake te pashpenzuara dhe participimeve tjera nga viti 2022.</w:t>
      </w:r>
    </w:p>
    <w:p w:rsidR="00B95D4E" w:rsidRPr="00324F52" w:rsidRDefault="00B95D4E" w:rsidP="00B95D4E">
      <w:pPr>
        <w:pStyle w:val="ListParagraph"/>
        <w:rPr>
          <w:b/>
          <w:color w:val="FF0000"/>
          <w:lang w:val="sq-AL"/>
        </w:rPr>
      </w:pPr>
    </w:p>
    <w:p w:rsidR="008E2A2A" w:rsidRPr="00F20479" w:rsidRDefault="005B3A32" w:rsidP="0046232B">
      <w:pPr>
        <w:pStyle w:val="ListParagraph"/>
        <w:numPr>
          <w:ilvl w:val="0"/>
          <w:numId w:val="16"/>
        </w:numPr>
        <w:jc w:val="both"/>
        <w:rPr>
          <w:lang w:val="sq-AL"/>
        </w:rPr>
      </w:pPr>
      <w:r w:rsidRPr="00F20479">
        <w:rPr>
          <w:color w:val="000000" w:themeColor="text1"/>
          <w:lang w:val="sq-AL"/>
        </w:rPr>
        <w:t>Struktura e pjesëmarrjes së mjeteve në buxhetin total</w:t>
      </w:r>
      <w:r w:rsidR="00AE5101">
        <w:rPr>
          <w:color w:val="000000" w:themeColor="text1"/>
          <w:lang w:val="sq-AL"/>
        </w:rPr>
        <w:t xml:space="preserve"> të planifikuar per vitin </w:t>
      </w:r>
      <w:r w:rsidR="004E5358">
        <w:rPr>
          <w:color w:val="000000" w:themeColor="text1"/>
          <w:lang w:val="sq-AL"/>
        </w:rPr>
        <w:t>2023</w:t>
      </w:r>
      <w:r w:rsidRPr="00F20479">
        <w:rPr>
          <w:color w:val="000000" w:themeColor="text1"/>
          <w:lang w:val="sq-AL"/>
        </w:rPr>
        <w:t>:</w:t>
      </w:r>
      <w:r w:rsidR="003065FB">
        <w:rPr>
          <w:color w:val="000000" w:themeColor="text1"/>
          <w:lang w:val="sq-AL"/>
        </w:rPr>
        <w:t xml:space="preserve"> </w:t>
      </w:r>
      <w:r w:rsidR="00C6440D" w:rsidRPr="00F20479">
        <w:rPr>
          <w:color w:val="000000" w:themeColor="text1"/>
          <w:lang w:val="sq-AL"/>
        </w:rPr>
        <w:t xml:space="preserve">Granti Qeveritarë </w:t>
      </w:r>
      <w:r w:rsidR="003065FB">
        <w:rPr>
          <w:b/>
          <w:color w:val="000000" w:themeColor="text1"/>
          <w:lang w:val="sq-AL"/>
        </w:rPr>
        <w:t>9</w:t>
      </w:r>
      <w:r w:rsidR="004E5358">
        <w:rPr>
          <w:b/>
          <w:color w:val="000000" w:themeColor="text1"/>
          <w:lang w:val="sq-AL"/>
        </w:rPr>
        <w:t>1.92</w:t>
      </w:r>
      <w:r w:rsidR="00B95D4E" w:rsidRPr="00F20479">
        <w:rPr>
          <w:b/>
          <w:color w:val="000000" w:themeColor="text1"/>
          <w:lang w:val="sq-AL"/>
        </w:rPr>
        <w:t>%</w:t>
      </w:r>
      <w:r w:rsidR="004C6806" w:rsidRPr="00F20479">
        <w:rPr>
          <w:color w:val="000000" w:themeColor="text1"/>
          <w:lang w:val="sq-AL"/>
        </w:rPr>
        <w:t xml:space="preserve"> apo shuma</w:t>
      </w:r>
      <w:r w:rsidR="00B95D4E" w:rsidRPr="00F20479">
        <w:rPr>
          <w:color w:val="000000" w:themeColor="text1"/>
          <w:lang w:val="sq-AL"/>
        </w:rPr>
        <w:t xml:space="preserve"> prej:  </w:t>
      </w:r>
      <w:r w:rsidR="004E5358">
        <w:rPr>
          <w:b/>
          <w:color w:val="000000" w:themeColor="text1"/>
          <w:lang w:val="sq-AL"/>
        </w:rPr>
        <w:t>9,812,111</w:t>
      </w:r>
      <w:r w:rsidR="00F20479" w:rsidRPr="00F20479">
        <w:rPr>
          <w:b/>
          <w:color w:val="000000" w:themeColor="text1"/>
          <w:lang w:val="sq-AL"/>
        </w:rPr>
        <w:t>.00</w:t>
      </w:r>
      <w:r w:rsidRPr="00F20479">
        <w:rPr>
          <w:rFonts w:cstheme="minorHAnsi"/>
          <w:b/>
          <w:color w:val="000000" w:themeColor="text1"/>
          <w:lang w:val="sq-AL"/>
        </w:rPr>
        <w:t>€</w:t>
      </w:r>
      <w:r w:rsidR="00FD1119" w:rsidRPr="00F20479">
        <w:rPr>
          <w:color w:val="000000" w:themeColor="text1"/>
          <w:lang w:val="sq-AL"/>
        </w:rPr>
        <w:t xml:space="preserve"> </w:t>
      </w:r>
      <w:r w:rsidR="005F661E" w:rsidRPr="00F20479">
        <w:rPr>
          <w:color w:val="000000" w:themeColor="text1"/>
          <w:lang w:val="sq-AL"/>
        </w:rPr>
        <w:t xml:space="preserve">, </w:t>
      </w:r>
      <w:r w:rsidR="00542271" w:rsidRPr="00F20479">
        <w:rPr>
          <w:color w:val="000000" w:themeColor="text1"/>
          <w:lang w:val="sq-AL"/>
        </w:rPr>
        <w:t>të hyrat vetanake</w:t>
      </w:r>
      <w:r w:rsidR="00C6440D" w:rsidRPr="00F20479">
        <w:rPr>
          <w:color w:val="000000" w:themeColor="text1"/>
          <w:lang w:val="sq-AL"/>
        </w:rPr>
        <w:t xml:space="preserve"> </w:t>
      </w:r>
      <w:r w:rsidR="004E5358">
        <w:rPr>
          <w:b/>
          <w:color w:val="000000" w:themeColor="text1"/>
          <w:lang w:val="sq-AL"/>
        </w:rPr>
        <w:t>8.08</w:t>
      </w:r>
      <w:r w:rsidR="00FD1119" w:rsidRPr="00F20479">
        <w:rPr>
          <w:b/>
          <w:color w:val="000000" w:themeColor="text1"/>
          <w:lang w:val="sq-AL"/>
        </w:rPr>
        <w:t>%</w:t>
      </w:r>
      <w:r w:rsidR="00FD1119" w:rsidRPr="00F20479">
        <w:rPr>
          <w:color w:val="000000" w:themeColor="text1"/>
          <w:lang w:val="sq-AL"/>
        </w:rPr>
        <w:t xml:space="preserve"> apo </w:t>
      </w:r>
      <w:r w:rsidR="004C6806" w:rsidRPr="00F20479">
        <w:rPr>
          <w:color w:val="000000" w:themeColor="text1"/>
          <w:lang w:val="sq-AL"/>
        </w:rPr>
        <w:t xml:space="preserve">shuma prej: </w:t>
      </w:r>
      <w:r w:rsidR="004E5358">
        <w:rPr>
          <w:b/>
          <w:color w:val="000000" w:themeColor="text1"/>
          <w:lang w:val="sq-AL"/>
        </w:rPr>
        <w:t>861,578</w:t>
      </w:r>
      <w:r w:rsidR="00F20479" w:rsidRPr="00F20479">
        <w:rPr>
          <w:b/>
          <w:color w:val="000000" w:themeColor="text1"/>
          <w:lang w:val="sq-AL"/>
        </w:rPr>
        <w:t>.00</w:t>
      </w:r>
      <w:r w:rsidR="003065FB">
        <w:rPr>
          <w:b/>
          <w:color w:val="000000" w:themeColor="text1"/>
          <w:lang w:val="sq-AL"/>
        </w:rPr>
        <w:t xml:space="preserve"> euro.</w:t>
      </w:r>
    </w:p>
    <w:p w:rsidR="008E44D9" w:rsidRDefault="008E44D9" w:rsidP="008E2A2A">
      <w:pPr>
        <w:jc w:val="center"/>
        <w:rPr>
          <w:b/>
          <w:lang w:val="sq-AL"/>
        </w:rPr>
      </w:pPr>
    </w:p>
    <w:p w:rsidR="00DA5C06" w:rsidRDefault="00DA5C06" w:rsidP="008E2A2A">
      <w:pPr>
        <w:jc w:val="center"/>
        <w:rPr>
          <w:b/>
          <w:lang w:val="sq-AL"/>
        </w:rPr>
      </w:pPr>
    </w:p>
    <w:p w:rsidR="00DA5C06" w:rsidRDefault="00DA5C06" w:rsidP="008E2A2A">
      <w:pPr>
        <w:jc w:val="center"/>
        <w:rPr>
          <w:b/>
          <w:lang w:val="sq-AL"/>
        </w:rPr>
      </w:pPr>
    </w:p>
    <w:p w:rsidR="00DA5C06" w:rsidRDefault="00DA5C06" w:rsidP="008E2A2A">
      <w:pPr>
        <w:jc w:val="center"/>
        <w:rPr>
          <w:b/>
          <w:lang w:val="sq-AL"/>
        </w:rPr>
      </w:pPr>
    </w:p>
    <w:p w:rsidR="0003612A" w:rsidRDefault="0003612A" w:rsidP="008E2A2A">
      <w:pPr>
        <w:jc w:val="center"/>
        <w:rPr>
          <w:b/>
          <w:lang w:val="sq-AL"/>
        </w:rPr>
      </w:pPr>
    </w:p>
    <w:p w:rsidR="00E10B1F" w:rsidRDefault="00DA5C06" w:rsidP="00D82753">
      <w:pPr>
        <w:rPr>
          <w:noProof/>
        </w:rPr>
      </w:pPr>
      <w:r w:rsidRPr="00DA5C06">
        <w:rPr>
          <w:noProof/>
        </w:rPr>
        <w:t xml:space="preserve"> </w:t>
      </w:r>
    </w:p>
    <w:p w:rsidR="006B28B1" w:rsidRDefault="006B28B1" w:rsidP="00D82753">
      <w:pPr>
        <w:rPr>
          <w:noProof/>
        </w:rPr>
      </w:pPr>
    </w:p>
    <w:p w:rsidR="006B28B1" w:rsidRDefault="006B28B1" w:rsidP="00D82753">
      <w:pPr>
        <w:rPr>
          <w:noProof/>
        </w:rPr>
      </w:pPr>
    </w:p>
    <w:p w:rsidR="006B28B1" w:rsidRDefault="006B28B1" w:rsidP="00D82753">
      <w:pPr>
        <w:rPr>
          <w:noProof/>
        </w:rPr>
      </w:pPr>
    </w:p>
    <w:p w:rsidR="006B28B1" w:rsidRDefault="006B28B1" w:rsidP="00D82753">
      <w:pPr>
        <w:rPr>
          <w:lang w:val="sq-AL"/>
        </w:rPr>
      </w:pPr>
    </w:p>
    <w:p w:rsidR="00E10B1F" w:rsidRDefault="00E10B1F" w:rsidP="00792B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3D1C13" w:rsidRPr="006C5B15" w:rsidRDefault="006C5B15" w:rsidP="006C5B15">
      <w:pPr>
        <w:rPr>
          <w:b/>
          <w:sz w:val="24"/>
          <w:szCs w:val="24"/>
        </w:rPr>
      </w:pPr>
      <w:r w:rsidRPr="00010B41">
        <w:rPr>
          <w:b/>
          <w:sz w:val="28"/>
          <w:szCs w:val="28"/>
        </w:rPr>
        <w:t>II.</w:t>
      </w:r>
      <w:r>
        <w:rPr>
          <w:b/>
          <w:sz w:val="24"/>
          <w:szCs w:val="24"/>
        </w:rPr>
        <w:t xml:space="preserve">  </w:t>
      </w:r>
      <w:r w:rsidR="00EE2992">
        <w:rPr>
          <w:b/>
          <w:sz w:val="28"/>
          <w:szCs w:val="28"/>
        </w:rPr>
        <w:t>Raporti i</w:t>
      </w:r>
      <w:r w:rsidRPr="00010B41">
        <w:rPr>
          <w:b/>
          <w:sz w:val="28"/>
          <w:szCs w:val="28"/>
        </w:rPr>
        <w:t xml:space="preserve"> inkasimit</w:t>
      </w:r>
      <w:r w:rsidR="00E11F37" w:rsidRPr="00010B41">
        <w:rPr>
          <w:b/>
          <w:sz w:val="28"/>
          <w:szCs w:val="28"/>
        </w:rPr>
        <w:t xml:space="preserve"> </w:t>
      </w:r>
      <w:r w:rsidRPr="00010B41">
        <w:rPr>
          <w:b/>
          <w:sz w:val="28"/>
          <w:szCs w:val="28"/>
        </w:rPr>
        <w:t xml:space="preserve"> të</w:t>
      </w:r>
      <w:r w:rsidR="00E11F37" w:rsidRPr="00010B41">
        <w:rPr>
          <w:b/>
          <w:sz w:val="28"/>
          <w:szCs w:val="28"/>
        </w:rPr>
        <w:t xml:space="preserve"> </w:t>
      </w:r>
      <w:r w:rsidRPr="00010B41">
        <w:rPr>
          <w:b/>
          <w:sz w:val="28"/>
          <w:szCs w:val="28"/>
        </w:rPr>
        <w:t xml:space="preserve"> të hyrave</w:t>
      </w:r>
      <w:r w:rsidR="00E11F37" w:rsidRPr="00010B41">
        <w:rPr>
          <w:b/>
          <w:sz w:val="28"/>
          <w:szCs w:val="28"/>
        </w:rPr>
        <w:t xml:space="preserve"> </w:t>
      </w:r>
      <w:r w:rsidRPr="00010B41">
        <w:rPr>
          <w:b/>
          <w:sz w:val="28"/>
          <w:szCs w:val="28"/>
        </w:rPr>
        <w:t xml:space="preserve"> vetanake</w:t>
      </w:r>
      <w:r w:rsidR="003D1C13" w:rsidRPr="00010B41">
        <w:rPr>
          <w:b/>
          <w:sz w:val="28"/>
          <w:szCs w:val="28"/>
        </w:rPr>
        <w:t>:</w:t>
      </w:r>
    </w:p>
    <w:p w:rsidR="003D1C13" w:rsidRDefault="003D1C13" w:rsidP="003D1C13">
      <w:pPr>
        <w:autoSpaceDE w:val="0"/>
        <w:autoSpaceDN w:val="0"/>
        <w:adjustRightInd w:val="0"/>
        <w:spacing w:after="0" w:line="240" w:lineRule="auto"/>
        <w:rPr>
          <w:rFonts w:ascii="TT18Bt00" w:hAnsi="TT18Bt00" w:cs="TT18Bt00"/>
          <w:sz w:val="21"/>
          <w:szCs w:val="21"/>
        </w:rPr>
      </w:pPr>
    </w:p>
    <w:p w:rsidR="00552560" w:rsidRDefault="00E10B1F" w:rsidP="007D77E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Të hyrat </w:t>
      </w:r>
      <w:r w:rsidR="003D1C13" w:rsidRPr="003D1C13">
        <w:rPr>
          <w:rFonts w:cstheme="minorHAnsi"/>
        </w:rPr>
        <w:t xml:space="preserve"> vetana</w:t>
      </w:r>
      <w:r>
        <w:rPr>
          <w:rFonts w:cstheme="minorHAnsi"/>
        </w:rPr>
        <w:t xml:space="preserve">ke </w:t>
      </w:r>
      <w:r w:rsidR="006B28B1">
        <w:rPr>
          <w:rFonts w:cstheme="minorHAnsi"/>
        </w:rPr>
        <w:t xml:space="preserve">direkte </w:t>
      </w:r>
      <w:r>
        <w:rPr>
          <w:rFonts w:cstheme="minorHAnsi"/>
        </w:rPr>
        <w:t xml:space="preserve">të grumbulluara gjatë  periudhës  raportuese </w:t>
      </w:r>
      <w:r w:rsidR="003D1C13">
        <w:rPr>
          <w:rFonts w:cstheme="minorHAnsi"/>
        </w:rPr>
        <w:t xml:space="preserve"> kanë ar</w:t>
      </w:r>
      <w:r w:rsidR="00381E8D">
        <w:rPr>
          <w:rFonts w:cstheme="minorHAnsi"/>
        </w:rPr>
        <w:t>ritur lartësinë e realizimit</w:t>
      </w:r>
      <w:r>
        <w:rPr>
          <w:rFonts w:cstheme="minorHAnsi"/>
        </w:rPr>
        <w:t xml:space="preserve"> prej</w:t>
      </w:r>
      <w:r w:rsidR="004C6806">
        <w:rPr>
          <w:rFonts w:cstheme="minorHAnsi"/>
        </w:rPr>
        <w:t xml:space="preserve">  </w:t>
      </w:r>
      <w:r w:rsidR="00DB3A28">
        <w:rPr>
          <w:rFonts w:cstheme="minorHAnsi"/>
          <w:b/>
          <w:color w:val="000000" w:themeColor="text1"/>
        </w:rPr>
        <w:t>523,200.32</w:t>
      </w:r>
      <w:r w:rsidR="003D1C13" w:rsidRPr="004C6806">
        <w:rPr>
          <w:rFonts w:cstheme="minorHAnsi"/>
          <w:b/>
        </w:rPr>
        <w:t>€</w:t>
      </w:r>
      <w:r w:rsidR="003D1C13" w:rsidRPr="003D1C13">
        <w:rPr>
          <w:rFonts w:cstheme="minorHAnsi"/>
        </w:rPr>
        <w:t xml:space="preserve"> që përbë</w:t>
      </w:r>
      <w:r>
        <w:rPr>
          <w:rFonts w:cstheme="minorHAnsi"/>
        </w:rPr>
        <w:t>j</w:t>
      </w:r>
      <w:r w:rsidR="003D1C13" w:rsidRPr="003D1C13">
        <w:rPr>
          <w:rFonts w:cstheme="minorHAnsi"/>
        </w:rPr>
        <w:t>n</w:t>
      </w:r>
      <w:r>
        <w:rPr>
          <w:rFonts w:cstheme="minorHAnsi"/>
        </w:rPr>
        <w:t>ë</w:t>
      </w:r>
      <w:r w:rsidR="003D1C13" w:rsidRPr="003D1C13">
        <w:rPr>
          <w:rFonts w:cstheme="minorHAnsi"/>
        </w:rPr>
        <w:t xml:space="preserve"> </w:t>
      </w:r>
      <w:r w:rsidR="00C47D38">
        <w:rPr>
          <w:rFonts w:cstheme="minorHAnsi"/>
          <w:b/>
        </w:rPr>
        <w:t>6</w:t>
      </w:r>
      <w:r w:rsidR="00DB3A28">
        <w:rPr>
          <w:rFonts w:cstheme="minorHAnsi"/>
          <w:b/>
        </w:rPr>
        <w:t>0.6</w:t>
      </w:r>
      <w:r w:rsidR="007D77E3">
        <w:rPr>
          <w:rFonts w:cstheme="minorHAnsi"/>
          <w:b/>
        </w:rPr>
        <w:t>6</w:t>
      </w:r>
      <w:r w:rsidR="003D1C13" w:rsidRPr="004C6806">
        <w:rPr>
          <w:rFonts w:cstheme="minorHAnsi"/>
          <w:b/>
        </w:rPr>
        <w:t>%</w:t>
      </w:r>
      <w:r w:rsidR="003D1C13" w:rsidRPr="003D1C13">
        <w:rPr>
          <w:rFonts w:cstheme="minorHAnsi"/>
        </w:rPr>
        <w:t xml:space="preserve"> </w:t>
      </w:r>
      <w:r>
        <w:rPr>
          <w:rFonts w:cstheme="minorHAnsi"/>
        </w:rPr>
        <w:t>të planifikimit</w:t>
      </w:r>
      <w:r w:rsidR="00491108">
        <w:rPr>
          <w:rFonts w:cstheme="minorHAnsi"/>
        </w:rPr>
        <w:t xml:space="preserve"> </w:t>
      </w:r>
      <w:r w:rsidR="004C6806">
        <w:rPr>
          <w:rFonts w:cstheme="minorHAnsi"/>
        </w:rPr>
        <w:t xml:space="preserve">të gjithëmbarshëm vjetorë në shumë prej </w:t>
      </w:r>
      <w:r w:rsidR="00DB3A28">
        <w:rPr>
          <w:rFonts w:cstheme="minorHAnsi"/>
          <w:b/>
        </w:rPr>
        <w:t>862,578</w:t>
      </w:r>
      <w:r w:rsidR="00491108" w:rsidRPr="004C6806">
        <w:rPr>
          <w:rFonts w:cstheme="minorHAnsi"/>
          <w:b/>
        </w:rPr>
        <w:t>.00€.</w:t>
      </w:r>
      <w:r w:rsidR="00491108">
        <w:rPr>
          <w:rFonts w:cstheme="minorHAnsi"/>
        </w:rPr>
        <w:t xml:space="preserve"> </w:t>
      </w:r>
      <w:r w:rsidR="003D1C13">
        <w:rPr>
          <w:rFonts w:cstheme="minorHAnsi"/>
        </w:rPr>
        <w:t xml:space="preserve">  </w:t>
      </w:r>
    </w:p>
    <w:p w:rsidR="005C128E" w:rsidRDefault="005C128E" w:rsidP="007D77E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5C128E" w:rsidRDefault="005C128E" w:rsidP="007D77E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Tabelën e cila paraqet te hyrat e realizuara sipas Drejtorive dhe sipas llojeve te te hyrave nuk kemi mundur ta paraqesim ne këtë raport pershkak te vështirësive në regjistrimin të hyrave ne sistem bazuar në </w:t>
      </w:r>
      <w:r w:rsidR="00C8100D">
        <w:rPr>
          <w:rFonts w:cstheme="minorHAnsi"/>
        </w:rPr>
        <w:t xml:space="preserve">raportet bankare te pranuara. </w:t>
      </w:r>
    </w:p>
    <w:p w:rsidR="000D7174" w:rsidRDefault="000D7174" w:rsidP="007D77E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1628ED" w:rsidRDefault="001628ED" w:rsidP="007D77E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1628ED" w:rsidRDefault="00DB5B11" w:rsidP="007D77E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bookmarkStart w:id="0" w:name="_GoBack"/>
      <w:r w:rsidRPr="00DB5B11">
        <w:drawing>
          <wp:inline distT="0" distB="0" distL="0" distR="0">
            <wp:extent cx="6687185" cy="616204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185" cy="616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05BED" w:rsidRDefault="00305BED" w:rsidP="007D77E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305BED" w:rsidRDefault="00305BED" w:rsidP="007D77E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305BED" w:rsidRDefault="00305BED" w:rsidP="007D77E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305BED" w:rsidRDefault="00305BED" w:rsidP="007D77E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305BED">
        <w:drawing>
          <wp:inline distT="0" distB="0" distL="0" distR="0">
            <wp:extent cx="6687185" cy="215455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185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C38" w:rsidRDefault="009E1C38" w:rsidP="0002569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B7AFD" w:rsidRDefault="00DB7AFD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305BED" w:rsidRDefault="00305BED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305BED" w:rsidRDefault="00305BED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305BED" w:rsidRDefault="00305BED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305BED" w:rsidRDefault="00305BED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C764D1" w:rsidRDefault="00C764D1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02569A" w:rsidRPr="00593DDD" w:rsidRDefault="006C5B15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8"/>
          <w:szCs w:val="28"/>
        </w:rPr>
      </w:pPr>
      <w:r w:rsidRPr="00593DDD">
        <w:rPr>
          <w:rFonts w:cstheme="minorHAnsi"/>
          <w:b/>
          <w:color w:val="000000"/>
          <w:sz w:val="28"/>
          <w:szCs w:val="28"/>
        </w:rPr>
        <w:t>I</w:t>
      </w:r>
      <w:r w:rsidR="003C1F2D" w:rsidRPr="00593DDD">
        <w:rPr>
          <w:rFonts w:cstheme="minorHAnsi"/>
          <w:b/>
          <w:color w:val="000000"/>
          <w:sz w:val="28"/>
          <w:szCs w:val="28"/>
        </w:rPr>
        <w:t>II . Shpenzimet e realizuara pë</w:t>
      </w:r>
      <w:r w:rsidR="00DB7AFD">
        <w:rPr>
          <w:rFonts w:cstheme="minorHAnsi"/>
          <w:b/>
          <w:color w:val="000000"/>
          <w:sz w:val="28"/>
          <w:szCs w:val="28"/>
        </w:rPr>
        <w:t>r periudhën   Janar – Qershor</w:t>
      </w:r>
      <w:r w:rsidR="000D7174">
        <w:rPr>
          <w:rFonts w:cstheme="minorHAnsi"/>
          <w:b/>
          <w:color w:val="000000"/>
          <w:sz w:val="28"/>
          <w:szCs w:val="28"/>
        </w:rPr>
        <w:t xml:space="preserve"> 2023</w:t>
      </w:r>
      <w:r w:rsidR="003C1F2D" w:rsidRPr="00593DDD">
        <w:rPr>
          <w:rFonts w:cstheme="minorHAnsi"/>
          <w:b/>
          <w:color w:val="000000"/>
          <w:sz w:val="28"/>
          <w:szCs w:val="28"/>
        </w:rPr>
        <w:t>:</w:t>
      </w:r>
    </w:p>
    <w:p w:rsidR="00CB3057" w:rsidRDefault="00CB3057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E02257" w:rsidRDefault="0002569A" w:rsidP="0002569A">
      <w:pPr>
        <w:autoSpaceDE w:val="0"/>
        <w:autoSpaceDN w:val="0"/>
        <w:adjustRightInd w:val="0"/>
        <w:spacing w:after="0"/>
        <w:rPr>
          <w:rFonts w:cstheme="minorHAnsi"/>
          <w:color w:val="000000" w:themeColor="text1"/>
        </w:rPr>
      </w:pPr>
      <w:r w:rsidRPr="00C13B25">
        <w:rPr>
          <w:rFonts w:cstheme="minorHAnsi"/>
          <w:color w:val="000000" w:themeColor="text1"/>
        </w:rPr>
        <w:t xml:space="preserve">Dinamika e shpenzimeve për  këtë periudhë është </w:t>
      </w:r>
      <w:r w:rsidR="00C764D1" w:rsidRPr="00C13B25">
        <w:rPr>
          <w:rFonts w:cstheme="minorHAnsi"/>
          <w:color w:val="000000" w:themeColor="text1"/>
        </w:rPr>
        <w:t xml:space="preserve"> realizuar </w:t>
      </w:r>
      <w:r w:rsidRPr="00C13B25">
        <w:rPr>
          <w:rFonts w:cstheme="minorHAnsi"/>
          <w:color w:val="000000" w:themeColor="text1"/>
        </w:rPr>
        <w:t xml:space="preserve">me </w:t>
      </w:r>
      <w:r w:rsidR="00B77795">
        <w:rPr>
          <w:rFonts w:cstheme="minorHAnsi"/>
          <w:color w:val="000000" w:themeColor="text1"/>
        </w:rPr>
        <w:t>36.23</w:t>
      </w:r>
      <w:r w:rsidR="003C1F2D" w:rsidRPr="00807DB8">
        <w:rPr>
          <w:rFonts w:cstheme="minorHAnsi"/>
          <w:b/>
          <w:color w:val="000000" w:themeColor="text1"/>
        </w:rPr>
        <w:t xml:space="preserve"> %</w:t>
      </w:r>
      <w:r w:rsidR="003C1F2D" w:rsidRPr="00C13B25">
        <w:rPr>
          <w:rFonts w:cstheme="minorHAnsi"/>
          <w:color w:val="000000" w:themeColor="text1"/>
        </w:rPr>
        <w:t xml:space="preserve"> në raport me Buxhetin </w:t>
      </w:r>
      <w:r w:rsidR="00DB7AFD">
        <w:rPr>
          <w:rFonts w:cstheme="minorHAnsi"/>
          <w:color w:val="000000" w:themeColor="text1"/>
        </w:rPr>
        <w:t xml:space="preserve">Aktual </w:t>
      </w:r>
      <w:r w:rsidR="00C13B25" w:rsidRPr="00C13B25">
        <w:rPr>
          <w:rFonts w:cstheme="minorHAnsi"/>
          <w:color w:val="000000" w:themeColor="text1"/>
        </w:rPr>
        <w:t xml:space="preserve">apo shuma  prej </w:t>
      </w:r>
      <w:r w:rsidR="00E54343">
        <w:rPr>
          <w:rFonts w:cstheme="minorHAnsi"/>
          <w:b/>
          <w:color w:val="000000" w:themeColor="text1"/>
        </w:rPr>
        <w:t>4,050,376.65</w:t>
      </w:r>
      <w:r w:rsidR="00D14337" w:rsidRPr="00807DB8">
        <w:rPr>
          <w:rFonts w:cstheme="minorHAnsi"/>
          <w:b/>
          <w:color w:val="000000" w:themeColor="text1"/>
        </w:rPr>
        <w:t>€</w:t>
      </w:r>
      <w:r w:rsidRPr="00C13B25">
        <w:rPr>
          <w:rFonts w:cstheme="minorHAnsi"/>
          <w:color w:val="000000" w:themeColor="text1"/>
        </w:rPr>
        <w:t xml:space="preserve"> ndërsa krahasuar më periudhën e  njëjtë të vitit </w:t>
      </w:r>
      <w:r w:rsidR="00807DB8">
        <w:rPr>
          <w:rFonts w:cstheme="minorHAnsi"/>
          <w:color w:val="000000" w:themeColor="text1"/>
        </w:rPr>
        <w:t xml:space="preserve">paraprak  </w:t>
      </w:r>
      <w:r w:rsidR="003C1F2D" w:rsidRPr="00C13B25">
        <w:rPr>
          <w:rFonts w:cstheme="minorHAnsi"/>
          <w:color w:val="000000" w:themeColor="text1"/>
        </w:rPr>
        <w:t xml:space="preserve">kemi  </w:t>
      </w:r>
      <w:r w:rsidR="00C13B25" w:rsidRPr="00C13B25">
        <w:rPr>
          <w:rFonts w:cstheme="minorHAnsi"/>
          <w:color w:val="000000" w:themeColor="text1"/>
        </w:rPr>
        <w:t xml:space="preserve">shkallën e shpenzimit prej </w:t>
      </w:r>
      <w:r w:rsidR="00E54343">
        <w:rPr>
          <w:rFonts w:cstheme="minorHAnsi"/>
          <w:b/>
          <w:color w:val="000000" w:themeColor="text1"/>
        </w:rPr>
        <w:t>32.79</w:t>
      </w:r>
      <w:r w:rsidR="00C13B25" w:rsidRPr="00807DB8">
        <w:rPr>
          <w:rFonts w:cstheme="minorHAnsi"/>
          <w:b/>
          <w:color w:val="000000" w:themeColor="text1"/>
        </w:rPr>
        <w:t>%</w:t>
      </w:r>
      <w:r w:rsidR="00825D79">
        <w:rPr>
          <w:rFonts w:cstheme="minorHAnsi"/>
          <w:color w:val="000000" w:themeColor="text1"/>
        </w:rPr>
        <w:t xml:space="preserve"> </w:t>
      </w:r>
      <w:r w:rsidR="00E54343">
        <w:rPr>
          <w:rFonts w:cstheme="minorHAnsi"/>
          <w:color w:val="000000" w:themeColor="text1"/>
        </w:rPr>
        <w:t xml:space="preserve"> më lartë te realizuar</w:t>
      </w:r>
      <w:r w:rsidR="00C549D1">
        <w:rPr>
          <w:rFonts w:cstheme="minorHAnsi"/>
          <w:color w:val="000000" w:themeColor="text1"/>
        </w:rPr>
        <w:t xml:space="preserve"> </w:t>
      </w:r>
      <w:r w:rsidR="00C13B25" w:rsidRPr="00C13B25">
        <w:rPr>
          <w:rFonts w:cstheme="minorHAnsi"/>
          <w:color w:val="000000" w:themeColor="text1"/>
        </w:rPr>
        <w:t>apo shumën prej</w:t>
      </w:r>
      <w:r w:rsidR="00C13B25">
        <w:rPr>
          <w:rFonts w:cstheme="minorHAnsi"/>
          <w:color w:val="000000" w:themeColor="text1"/>
        </w:rPr>
        <w:t>:</w:t>
      </w:r>
      <w:r w:rsidR="00C549D1">
        <w:rPr>
          <w:rFonts w:cstheme="minorHAnsi"/>
          <w:color w:val="000000" w:themeColor="text1"/>
        </w:rPr>
        <w:t xml:space="preserve"> </w:t>
      </w:r>
      <w:r w:rsidR="00E54343">
        <w:rPr>
          <w:rFonts w:cstheme="minorHAnsi"/>
          <w:b/>
          <w:color w:val="000000" w:themeColor="text1"/>
        </w:rPr>
        <w:t>1,000,071.19</w:t>
      </w:r>
      <w:r w:rsidR="00C13B25" w:rsidRPr="00C549D1">
        <w:rPr>
          <w:rFonts w:cstheme="minorHAnsi"/>
          <w:b/>
          <w:color w:val="000000" w:themeColor="text1"/>
        </w:rPr>
        <w:t>€.</w:t>
      </w:r>
      <w:r w:rsidR="003C1F2D" w:rsidRPr="00C13B25">
        <w:rPr>
          <w:rFonts w:cstheme="minorHAnsi"/>
          <w:color w:val="000000" w:themeColor="text1"/>
        </w:rPr>
        <w:t xml:space="preserve"> </w:t>
      </w:r>
      <w:r w:rsidR="001B2F6B">
        <w:rPr>
          <w:rFonts w:cstheme="minorHAnsi"/>
          <w:color w:val="000000" w:themeColor="text1"/>
        </w:rPr>
        <w:t xml:space="preserve">  </w:t>
      </w:r>
    </w:p>
    <w:p w:rsidR="00F01400" w:rsidRDefault="00F01400" w:rsidP="0002569A">
      <w:pPr>
        <w:autoSpaceDE w:val="0"/>
        <w:autoSpaceDN w:val="0"/>
        <w:adjustRightInd w:val="0"/>
        <w:spacing w:after="0"/>
        <w:rPr>
          <w:rFonts w:cstheme="minorHAnsi"/>
          <w:color w:val="000000" w:themeColor="text1"/>
        </w:rPr>
      </w:pPr>
    </w:p>
    <w:p w:rsidR="00DB7AFD" w:rsidRPr="00C764D1" w:rsidRDefault="00DB7AFD" w:rsidP="0002569A">
      <w:pPr>
        <w:autoSpaceDE w:val="0"/>
        <w:autoSpaceDN w:val="0"/>
        <w:adjustRightInd w:val="0"/>
        <w:spacing w:after="0"/>
        <w:rPr>
          <w:rFonts w:cstheme="minorHAnsi"/>
          <w:b/>
          <w:color w:val="000000"/>
          <w:sz w:val="18"/>
          <w:szCs w:val="18"/>
        </w:rPr>
      </w:pPr>
    </w:p>
    <w:p w:rsidR="00F01400" w:rsidRDefault="000D7174" w:rsidP="0002569A">
      <w:pPr>
        <w:autoSpaceDE w:val="0"/>
        <w:autoSpaceDN w:val="0"/>
        <w:adjustRightInd w:val="0"/>
        <w:spacing w:after="0"/>
        <w:rPr>
          <w:rFonts w:cstheme="minorHAnsi"/>
          <w:noProof/>
          <w:color w:val="000000"/>
        </w:rPr>
      </w:pPr>
      <w:r w:rsidRPr="000D7174">
        <w:drawing>
          <wp:inline distT="0" distB="0" distL="0" distR="0">
            <wp:extent cx="6858000" cy="1981287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81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057" w:rsidRDefault="00CB3057" w:rsidP="0002569A">
      <w:pPr>
        <w:autoSpaceDE w:val="0"/>
        <w:autoSpaceDN w:val="0"/>
        <w:adjustRightInd w:val="0"/>
        <w:spacing w:after="0"/>
        <w:rPr>
          <w:rFonts w:cstheme="minorHAnsi"/>
          <w:noProof/>
          <w:color w:val="000000"/>
        </w:rPr>
      </w:pPr>
    </w:p>
    <w:p w:rsidR="00247AE3" w:rsidRDefault="00247AE3" w:rsidP="00542495">
      <w:pPr>
        <w:pStyle w:val="ListParagraph"/>
        <w:autoSpaceDE w:val="0"/>
        <w:autoSpaceDN w:val="0"/>
        <w:adjustRightInd w:val="0"/>
        <w:spacing w:after="0"/>
        <w:rPr>
          <w:rFonts w:cstheme="minorHAnsi"/>
          <w:i/>
          <w:color w:val="000000" w:themeColor="text1"/>
        </w:rPr>
      </w:pPr>
    </w:p>
    <w:p w:rsidR="00247AE3" w:rsidRPr="00247AE3" w:rsidRDefault="008A406D" w:rsidP="00247AE3">
      <w:pPr>
        <w:pStyle w:val="ListParagraph"/>
        <w:tabs>
          <w:tab w:val="num" w:pos="450"/>
        </w:tabs>
        <w:spacing w:after="0" w:line="240" w:lineRule="auto"/>
        <w:jc w:val="both"/>
        <w:rPr>
          <w:b/>
          <w:bCs/>
          <w:color w:val="000000" w:themeColor="text1"/>
          <w:lang w:val="sq-AL"/>
        </w:rPr>
      </w:pPr>
      <w:r>
        <w:rPr>
          <w:b/>
          <w:bCs/>
          <w:color w:val="000000" w:themeColor="text1"/>
          <w:lang w:val="sq-AL"/>
        </w:rPr>
        <w:t xml:space="preserve">Shkalla e realizimit  të </w:t>
      </w:r>
      <w:r w:rsidR="00247AE3" w:rsidRPr="00247AE3">
        <w:rPr>
          <w:b/>
          <w:bCs/>
          <w:color w:val="000000" w:themeColor="text1"/>
          <w:lang w:val="sq-AL"/>
        </w:rPr>
        <w:t>‘KESH’  në  raport me ndarjet buxhetore</w:t>
      </w:r>
      <w:r w:rsidR="00FB6DAD">
        <w:rPr>
          <w:b/>
          <w:bCs/>
          <w:color w:val="000000" w:themeColor="text1"/>
          <w:lang w:val="sq-AL"/>
        </w:rPr>
        <w:t xml:space="preserve">  të vitit 2023</w:t>
      </w:r>
      <w:r w:rsidR="00247AE3" w:rsidRPr="00247AE3">
        <w:rPr>
          <w:b/>
          <w:bCs/>
          <w:color w:val="000000" w:themeColor="text1"/>
          <w:lang w:val="sq-AL"/>
        </w:rPr>
        <w:t xml:space="preserve"> </w:t>
      </w:r>
      <w:r>
        <w:rPr>
          <w:b/>
          <w:bCs/>
          <w:color w:val="000000" w:themeColor="text1"/>
          <w:lang w:val="sq-AL"/>
        </w:rPr>
        <w:t xml:space="preserve"> </w:t>
      </w:r>
      <w:r w:rsidR="00247AE3" w:rsidRPr="00247AE3">
        <w:rPr>
          <w:b/>
          <w:bCs/>
          <w:color w:val="000000" w:themeColor="text1"/>
          <w:lang w:val="sq-AL"/>
        </w:rPr>
        <w:t>është si vijon:</w:t>
      </w:r>
    </w:p>
    <w:p w:rsidR="00247AE3" w:rsidRPr="00247AE3" w:rsidRDefault="00247AE3" w:rsidP="00247AE3">
      <w:pPr>
        <w:pStyle w:val="ListParagraph"/>
        <w:tabs>
          <w:tab w:val="num" w:pos="450"/>
        </w:tabs>
        <w:spacing w:after="0" w:line="240" w:lineRule="auto"/>
        <w:jc w:val="both"/>
        <w:rPr>
          <w:b/>
          <w:bCs/>
          <w:color w:val="000000" w:themeColor="text1"/>
          <w:lang w:val="sq-AL"/>
        </w:rPr>
      </w:pPr>
    </w:p>
    <w:p w:rsidR="00247AE3" w:rsidRPr="00EC1A84" w:rsidRDefault="00247AE3" w:rsidP="00EC1A8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bCs/>
          <w:color w:val="000000" w:themeColor="text1"/>
          <w:lang w:val="sq-AL"/>
        </w:rPr>
      </w:pPr>
      <w:r w:rsidRPr="00247AE3">
        <w:rPr>
          <w:bCs/>
          <w:color w:val="000000" w:themeColor="text1"/>
          <w:lang w:val="sq-AL"/>
        </w:rPr>
        <w:t xml:space="preserve">Pagat  dhe Mëditjet  </w:t>
      </w:r>
      <w:r w:rsidR="00045933">
        <w:rPr>
          <w:bCs/>
          <w:color w:val="000000" w:themeColor="text1"/>
          <w:lang w:val="sq-AL"/>
        </w:rPr>
        <w:tab/>
      </w:r>
      <w:r w:rsidRPr="00247AE3">
        <w:rPr>
          <w:bCs/>
          <w:color w:val="000000" w:themeColor="text1"/>
          <w:lang w:val="sq-AL"/>
        </w:rPr>
        <w:t xml:space="preserve"> </w:t>
      </w:r>
      <w:r w:rsidR="00045933">
        <w:rPr>
          <w:bCs/>
          <w:color w:val="000000" w:themeColor="text1"/>
          <w:lang w:val="sq-AL"/>
        </w:rPr>
        <w:tab/>
      </w:r>
      <w:r w:rsidR="00FB6DAD">
        <w:rPr>
          <w:bCs/>
          <w:color w:val="000000" w:themeColor="text1"/>
          <w:lang w:val="sq-AL"/>
        </w:rPr>
        <w:t>53.59</w:t>
      </w:r>
      <w:r w:rsidRPr="00247AE3">
        <w:rPr>
          <w:bCs/>
          <w:color w:val="000000" w:themeColor="text1"/>
          <w:lang w:val="sq-AL"/>
        </w:rPr>
        <w:t xml:space="preserve"> %,</w:t>
      </w:r>
      <w:r w:rsidRPr="00EC1A84">
        <w:rPr>
          <w:bCs/>
          <w:color w:val="000000" w:themeColor="text1"/>
          <w:lang w:val="sq-AL"/>
        </w:rPr>
        <w:t xml:space="preserve"> </w:t>
      </w:r>
      <w:r w:rsidR="00045933" w:rsidRPr="00EC1A84">
        <w:rPr>
          <w:bCs/>
          <w:color w:val="000000" w:themeColor="text1"/>
          <w:lang w:val="sq-AL"/>
        </w:rPr>
        <w:tab/>
      </w:r>
      <w:r w:rsidR="00045933" w:rsidRPr="00EC1A84">
        <w:rPr>
          <w:bCs/>
          <w:color w:val="000000" w:themeColor="text1"/>
          <w:lang w:val="sq-AL"/>
        </w:rPr>
        <w:tab/>
      </w:r>
    </w:p>
    <w:p w:rsidR="00247AE3" w:rsidRDefault="00247AE3" w:rsidP="00247AE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bCs/>
          <w:color w:val="000000" w:themeColor="text1"/>
          <w:lang w:val="sq-AL"/>
        </w:rPr>
      </w:pPr>
      <w:r w:rsidRPr="00247AE3">
        <w:rPr>
          <w:bCs/>
          <w:color w:val="000000" w:themeColor="text1"/>
          <w:lang w:val="sq-AL"/>
        </w:rPr>
        <w:t xml:space="preserve">Mallra  dhe  Shërbime  </w:t>
      </w:r>
      <w:r w:rsidR="00045933">
        <w:rPr>
          <w:bCs/>
          <w:color w:val="000000" w:themeColor="text1"/>
          <w:lang w:val="sq-AL"/>
        </w:rPr>
        <w:tab/>
      </w:r>
      <w:r w:rsidR="00045933">
        <w:rPr>
          <w:bCs/>
          <w:color w:val="000000" w:themeColor="text1"/>
          <w:lang w:val="sq-AL"/>
        </w:rPr>
        <w:tab/>
      </w:r>
      <w:r w:rsidR="00FB6DAD">
        <w:rPr>
          <w:bCs/>
          <w:color w:val="000000" w:themeColor="text1"/>
          <w:lang w:val="sq-AL"/>
        </w:rPr>
        <w:t>25.54</w:t>
      </w:r>
      <w:r w:rsidRPr="00247AE3">
        <w:rPr>
          <w:bCs/>
          <w:color w:val="000000" w:themeColor="text1"/>
          <w:lang w:val="sq-AL"/>
        </w:rPr>
        <w:t xml:space="preserve"> %,</w:t>
      </w:r>
    </w:p>
    <w:p w:rsidR="00EC1A84" w:rsidRPr="00247AE3" w:rsidRDefault="00FB6DAD" w:rsidP="00247AE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bCs/>
          <w:color w:val="000000" w:themeColor="text1"/>
          <w:lang w:val="sq-AL"/>
        </w:rPr>
      </w:pPr>
      <w:r>
        <w:rPr>
          <w:bCs/>
          <w:color w:val="000000" w:themeColor="text1"/>
          <w:lang w:val="sq-AL"/>
        </w:rPr>
        <w:t>Shpenzime Komunale</w:t>
      </w:r>
      <w:r>
        <w:rPr>
          <w:bCs/>
          <w:color w:val="000000" w:themeColor="text1"/>
          <w:lang w:val="sq-AL"/>
        </w:rPr>
        <w:tab/>
      </w:r>
      <w:r>
        <w:rPr>
          <w:bCs/>
          <w:color w:val="000000" w:themeColor="text1"/>
          <w:lang w:val="sq-AL"/>
        </w:rPr>
        <w:tab/>
        <w:t>21.36</w:t>
      </w:r>
      <w:r w:rsidR="00EC1A84">
        <w:rPr>
          <w:bCs/>
          <w:color w:val="000000" w:themeColor="text1"/>
          <w:lang w:val="sq-AL"/>
        </w:rPr>
        <w:t xml:space="preserve"> %</w:t>
      </w:r>
      <w:r w:rsidR="00A62975">
        <w:rPr>
          <w:bCs/>
          <w:color w:val="000000" w:themeColor="text1"/>
          <w:lang w:val="sq-AL"/>
        </w:rPr>
        <w:t>,</w:t>
      </w:r>
    </w:p>
    <w:p w:rsidR="00247AE3" w:rsidRPr="00247AE3" w:rsidRDefault="00247AE3" w:rsidP="00247AE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bCs/>
          <w:color w:val="000000" w:themeColor="text1"/>
          <w:lang w:val="sq-AL"/>
        </w:rPr>
      </w:pPr>
      <w:r w:rsidRPr="00247AE3">
        <w:rPr>
          <w:bCs/>
          <w:color w:val="000000" w:themeColor="text1"/>
          <w:lang w:val="sq-AL"/>
        </w:rPr>
        <w:t xml:space="preserve">Subvencione  dhe  Transfere  </w:t>
      </w:r>
      <w:r w:rsidR="00045933">
        <w:rPr>
          <w:bCs/>
          <w:color w:val="000000" w:themeColor="text1"/>
          <w:lang w:val="sq-AL"/>
        </w:rPr>
        <w:tab/>
      </w:r>
      <w:r w:rsidR="00FB6DAD">
        <w:rPr>
          <w:bCs/>
          <w:color w:val="000000" w:themeColor="text1"/>
          <w:lang w:val="sq-AL"/>
        </w:rPr>
        <w:t>27.88</w:t>
      </w:r>
      <w:r w:rsidRPr="00247AE3">
        <w:rPr>
          <w:bCs/>
          <w:color w:val="000000" w:themeColor="text1"/>
          <w:lang w:val="sq-AL"/>
        </w:rPr>
        <w:t xml:space="preserve"> %  dhe </w:t>
      </w:r>
    </w:p>
    <w:p w:rsidR="00247AE3" w:rsidRDefault="00005861" w:rsidP="00247AE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bCs/>
          <w:color w:val="000000" w:themeColor="text1"/>
          <w:lang w:val="sq-AL"/>
        </w:rPr>
      </w:pPr>
      <w:r>
        <w:rPr>
          <w:bCs/>
          <w:color w:val="000000" w:themeColor="text1"/>
          <w:lang w:val="sq-AL"/>
        </w:rPr>
        <w:t>Shpenzime  Kapitale</w:t>
      </w:r>
      <w:r w:rsidR="00247AE3" w:rsidRPr="00247AE3">
        <w:rPr>
          <w:bCs/>
          <w:color w:val="000000" w:themeColor="text1"/>
          <w:lang w:val="sq-AL"/>
        </w:rPr>
        <w:t xml:space="preserve">  </w:t>
      </w:r>
      <w:r w:rsidR="00FB6DAD">
        <w:rPr>
          <w:bCs/>
          <w:color w:val="000000" w:themeColor="text1"/>
          <w:lang w:val="sq-AL"/>
        </w:rPr>
        <w:tab/>
      </w:r>
      <w:r w:rsidR="00FB6DAD">
        <w:rPr>
          <w:bCs/>
          <w:color w:val="000000" w:themeColor="text1"/>
          <w:lang w:val="sq-AL"/>
        </w:rPr>
        <w:tab/>
        <w:t>14.85</w:t>
      </w:r>
      <w:r w:rsidR="00247AE3" w:rsidRPr="00247AE3">
        <w:rPr>
          <w:bCs/>
          <w:color w:val="000000" w:themeColor="text1"/>
          <w:lang w:val="sq-AL"/>
        </w:rPr>
        <w:t xml:space="preserve">%. </w:t>
      </w:r>
    </w:p>
    <w:p w:rsidR="00DE43A8" w:rsidRPr="00446434" w:rsidRDefault="00DE43A8" w:rsidP="00446434">
      <w:pPr>
        <w:spacing w:after="0" w:line="240" w:lineRule="auto"/>
        <w:ind w:left="720"/>
        <w:jc w:val="both"/>
        <w:rPr>
          <w:bCs/>
          <w:color w:val="000000" w:themeColor="text1"/>
          <w:lang w:val="sq-AL"/>
        </w:rPr>
      </w:pPr>
    </w:p>
    <w:p w:rsidR="005C7551" w:rsidRDefault="005C7551" w:rsidP="00425929">
      <w:pPr>
        <w:spacing w:after="0" w:line="240" w:lineRule="auto"/>
        <w:jc w:val="both"/>
        <w:rPr>
          <w:bCs/>
          <w:color w:val="000000" w:themeColor="text1"/>
          <w:lang w:val="sq-AL"/>
        </w:rPr>
      </w:pPr>
    </w:p>
    <w:p w:rsidR="00F05DF1" w:rsidRDefault="00F05DF1" w:rsidP="00425929">
      <w:pPr>
        <w:spacing w:after="0" w:line="240" w:lineRule="auto"/>
        <w:jc w:val="both"/>
        <w:rPr>
          <w:bCs/>
          <w:color w:val="000000" w:themeColor="text1"/>
          <w:lang w:val="sq-AL"/>
        </w:rPr>
      </w:pPr>
    </w:p>
    <w:p w:rsidR="005C7551" w:rsidRPr="00425929" w:rsidRDefault="005C7551" w:rsidP="00425929">
      <w:pPr>
        <w:spacing w:after="0" w:line="240" w:lineRule="auto"/>
        <w:jc w:val="both"/>
        <w:rPr>
          <w:bCs/>
          <w:color w:val="000000" w:themeColor="text1"/>
          <w:lang w:val="sq-AL"/>
        </w:rPr>
      </w:pPr>
    </w:p>
    <w:p w:rsidR="003C1F2D" w:rsidRDefault="003C1F2D" w:rsidP="00EC6E27">
      <w:pPr>
        <w:tabs>
          <w:tab w:val="num" w:pos="450"/>
        </w:tabs>
        <w:spacing w:after="0" w:line="240" w:lineRule="auto"/>
        <w:jc w:val="both"/>
        <w:rPr>
          <w:bCs/>
          <w:lang w:val="sq-AL"/>
        </w:rPr>
      </w:pPr>
    </w:p>
    <w:p w:rsidR="00CB3057" w:rsidRPr="00EA162D" w:rsidRDefault="00EA162D" w:rsidP="00EA162D">
      <w:pPr>
        <w:tabs>
          <w:tab w:val="num" w:pos="450"/>
        </w:tabs>
        <w:spacing w:after="0" w:line="240" w:lineRule="auto"/>
        <w:jc w:val="center"/>
        <w:rPr>
          <w:b/>
          <w:bCs/>
          <w:lang w:val="sq-AL"/>
        </w:rPr>
      </w:pPr>
      <w:r>
        <w:rPr>
          <w:b/>
          <w:bCs/>
          <w:lang w:val="sq-AL"/>
        </w:rPr>
        <w:t xml:space="preserve">Tabela në  vijim </w:t>
      </w:r>
      <w:r w:rsidR="00CB3057" w:rsidRPr="00EA162D">
        <w:rPr>
          <w:b/>
          <w:bCs/>
          <w:lang w:val="sq-AL"/>
        </w:rPr>
        <w:t>paraqet  realizimin e shpenzimeve  sipas  Programeve Buxhetore  dhe</w:t>
      </w:r>
      <w:r>
        <w:rPr>
          <w:b/>
          <w:bCs/>
          <w:lang w:val="sq-AL"/>
        </w:rPr>
        <w:t xml:space="preserve"> atë sipas K. Ekonomike:</w:t>
      </w:r>
    </w:p>
    <w:p w:rsidR="00CB3057" w:rsidRDefault="00CB3057" w:rsidP="00EC6E27">
      <w:pPr>
        <w:tabs>
          <w:tab w:val="num" w:pos="450"/>
        </w:tabs>
        <w:spacing w:after="0" w:line="240" w:lineRule="auto"/>
        <w:jc w:val="both"/>
        <w:rPr>
          <w:bCs/>
          <w:lang w:val="sq-AL"/>
        </w:rPr>
      </w:pPr>
    </w:p>
    <w:p w:rsidR="005C776C" w:rsidRDefault="00F05DF1" w:rsidP="00CB3057">
      <w:pPr>
        <w:tabs>
          <w:tab w:val="num" w:pos="450"/>
        </w:tabs>
        <w:spacing w:after="0" w:line="240" w:lineRule="auto"/>
        <w:jc w:val="both"/>
        <w:rPr>
          <w:bCs/>
          <w:lang w:val="sq-AL"/>
        </w:rPr>
      </w:pPr>
      <w:r w:rsidRPr="00F05DF1">
        <w:drawing>
          <wp:inline distT="0" distB="0" distL="0" distR="0">
            <wp:extent cx="6858000" cy="3483553"/>
            <wp:effectExtent l="0" t="0" r="0" b="317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48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BF6" w:rsidRDefault="00957BF6" w:rsidP="00C91DAC">
      <w:pPr>
        <w:pStyle w:val="ListParagraph"/>
        <w:tabs>
          <w:tab w:val="num" w:pos="450"/>
        </w:tabs>
        <w:spacing w:after="0" w:line="240" w:lineRule="auto"/>
        <w:jc w:val="both"/>
        <w:rPr>
          <w:b/>
          <w:bCs/>
          <w:lang w:val="sq-AL"/>
        </w:rPr>
      </w:pPr>
    </w:p>
    <w:p w:rsidR="00957BF6" w:rsidRDefault="00957BF6" w:rsidP="00C91DAC">
      <w:pPr>
        <w:pStyle w:val="ListParagraph"/>
        <w:tabs>
          <w:tab w:val="num" w:pos="450"/>
        </w:tabs>
        <w:spacing w:after="0" w:line="240" w:lineRule="auto"/>
        <w:jc w:val="both"/>
        <w:rPr>
          <w:b/>
          <w:bCs/>
          <w:lang w:val="sq-AL"/>
        </w:rPr>
      </w:pPr>
    </w:p>
    <w:p w:rsidR="00247AE3" w:rsidRDefault="006A056E" w:rsidP="00C91DAC">
      <w:pPr>
        <w:pStyle w:val="ListParagraph"/>
        <w:tabs>
          <w:tab w:val="num" w:pos="450"/>
        </w:tabs>
        <w:spacing w:after="0" w:line="240" w:lineRule="auto"/>
        <w:jc w:val="both"/>
        <w:rPr>
          <w:b/>
          <w:bCs/>
          <w:lang w:val="sq-AL"/>
        </w:rPr>
      </w:pPr>
      <w:r>
        <w:rPr>
          <w:b/>
          <w:bCs/>
          <w:lang w:val="sq-AL"/>
        </w:rPr>
        <w:t xml:space="preserve">      </w:t>
      </w:r>
    </w:p>
    <w:p w:rsidR="00247AE3" w:rsidRPr="00D12440" w:rsidRDefault="00941A5D" w:rsidP="008C4B1C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b/>
          <w:bCs/>
          <w:color w:val="000000" w:themeColor="text1"/>
          <w:lang w:val="sq-AL"/>
        </w:rPr>
      </w:pPr>
      <w:r>
        <w:rPr>
          <w:b/>
          <w:bCs/>
          <w:color w:val="000000" w:themeColor="text1"/>
          <w:lang w:val="sq-AL"/>
        </w:rPr>
        <w:t>Pjesëmarrja  e  ‘KE</w:t>
      </w:r>
      <w:r w:rsidR="00DB1A92">
        <w:rPr>
          <w:b/>
          <w:bCs/>
          <w:color w:val="000000" w:themeColor="text1"/>
          <w:lang w:val="sq-AL"/>
        </w:rPr>
        <w:t>SH</w:t>
      </w:r>
      <w:r w:rsidR="00247AE3" w:rsidRPr="00D12440">
        <w:rPr>
          <w:b/>
          <w:bCs/>
          <w:color w:val="000000" w:themeColor="text1"/>
          <w:lang w:val="sq-AL"/>
        </w:rPr>
        <w:t>’  në  shpenzimin  total  per periudhën  raportuese:</w:t>
      </w:r>
    </w:p>
    <w:p w:rsidR="00247AE3" w:rsidRPr="00D12440" w:rsidRDefault="005C7551" w:rsidP="009D23D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bCs/>
          <w:color w:val="000000" w:themeColor="text1"/>
          <w:lang w:val="sq-AL"/>
        </w:rPr>
      </w:pPr>
      <w:r>
        <w:rPr>
          <w:bCs/>
          <w:color w:val="000000" w:themeColor="text1"/>
          <w:lang w:val="sq-AL"/>
        </w:rPr>
        <w:t xml:space="preserve">Pagat  dhe Mëditjet   </w:t>
      </w:r>
      <w:r>
        <w:rPr>
          <w:bCs/>
          <w:color w:val="000000" w:themeColor="text1"/>
          <w:lang w:val="sq-AL"/>
        </w:rPr>
        <w:tab/>
      </w:r>
      <w:r>
        <w:rPr>
          <w:bCs/>
          <w:color w:val="000000" w:themeColor="text1"/>
          <w:lang w:val="sq-AL"/>
        </w:rPr>
        <w:tab/>
      </w:r>
      <w:r>
        <w:rPr>
          <w:bCs/>
          <w:color w:val="000000" w:themeColor="text1"/>
          <w:lang w:val="sq-AL"/>
        </w:rPr>
        <w:tab/>
      </w:r>
      <w:r w:rsidR="004B1A35">
        <w:rPr>
          <w:bCs/>
          <w:color w:val="000000" w:themeColor="text1"/>
          <w:lang w:val="sq-AL"/>
        </w:rPr>
        <w:t>74.47</w:t>
      </w:r>
      <w:r w:rsidR="00247AE3" w:rsidRPr="00D12440">
        <w:rPr>
          <w:bCs/>
          <w:color w:val="000000" w:themeColor="text1"/>
          <w:lang w:val="sq-AL"/>
        </w:rPr>
        <w:t xml:space="preserve"> %,</w:t>
      </w:r>
    </w:p>
    <w:p w:rsidR="00247AE3" w:rsidRPr="005E12E5" w:rsidRDefault="004B1A35" w:rsidP="005E12E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bCs/>
          <w:color w:val="000000" w:themeColor="text1"/>
          <w:lang w:val="sq-AL"/>
        </w:rPr>
      </w:pPr>
      <w:r>
        <w:rPr>
          <w:bCs/>
          <w:color w:val="000000" w:themeColor="text1"/>
          <w:lang w:val="sq-AL"/>
        </w:rPr>
        <w:t xml:space="preserve">Mallra  dhe  Shërbime  </w:t>
      </w:r>
      <w:r>
        <w:rPr>
          <w:bCs/>
          <w:color w:val="000000" w:themeColor="text1"/>
          <w:lang w:val="sq-AL"/>
        </w:rPr>
        <w:tab/>
      </w:r>
      <w:r>
        <w:rPr>
          <w:bCs/>
          <w:color w:val="000000" w:themeColor="text1"/>
          <w:lang w:val="sq-AL"/>
        </w:rPr>
        <w:tab/>
      </w:r>
      <w:r>
        <w:rPr>
          <w:bCs/>
          <w:color w:val="000000" w:themeColor="text1"/>
          <w:lang w:val="sq-AL"/>
        </w:rPr>
        <w:tab/>
        <w:t xml:space="preserve">   9.47</w:t>
      </w:r>
      <w:r w:rsidR="00247AE3" w:rsidRPr="00D12440">
        <w:rPr>
          <w:bCs/>
          <w:color w:val="000000" w:themeColor="text1"/>
          <w:lang w:val="sq-AL"/>
        </w:rPr>
        <w:t xml:space="preserve"> %,</w:t>
      </w:r>
      <w:r w:rsidR="005C7551" w:rsidRPr="005E12E5">
        <w:rPr>
          <w:bCs/>
          <w:color w:val="000000" w:themeColor="text1"/>
          <w:lang w:val="sq-AL"/>
        </w:rPr>
        <w:t xml:space="preserve"> </w:t>
      </w:r>
    </w:p>
    <w:p w:rsidR="009D23D8" w:rsidRDefault="005C7551" w:rsidP="009D23D8">
      <w:pPr>
        <w:pStyle w:val="ListParagraph"/>
        <w:numPr>
          <w:ilvl w:val="0"/>
          <w:numId w:val="22"/>
        </w:numPr>
        <w:rPr>
          <w:bCs/>
          <w:color w:val="000000" w:themeColor="text1"/>
          <w:lang w:val="sq-AL"/>
        </w:rPr>
      </w:pPr>
      <w:r>
        <w:rPr>
          <w:bCs/>
          <w:color w:val="000000" w:themeColor="text1"/>
          <w:lang w:val="sq-AL"/>
        </w:rPr>
        <w:t xml:space="preserve">Shpenzime  Komunale  </w:t>
      </w:r>
      <w:r>
        <w:rPr>
          <w:bCs/>
          <w:color w:val="000000" w:themeColor="text1"/>
          <w:lang w:val="sq-AL"/>
        </w:rPr>
        <w:tab/>
      </w:r>
      <w:r>
        <w:rPr>
          <w:bCs/>
          <w:color w:val="000000" w:themeColor="text1"/>
          <w:lang w:val="sq-AL"/>
        </w:rPr>
        <w:tab/>
      </w:r>
      <w:r>
        <w:rPr>
          <w:bCs/>
          <w:color w:val="000000" w:themeColor="text1"/>
          <w:lang w:val="sq-AL"/>
        </w:rPr>
        <w:tab/>
        <w:t xml:space="preserve">  </w:t>
      </w:r>
      <w:r w:rsidR="004B1A35">
        <w:rPr>
          <w:bCs/>
          <w:color w:val="000000" w:themeColor="text1"/>
          <w:lang w:val="sq-AL"/>
        </w:rPr>
        <w:t xml:space="preserve"> 1.11</w:t>
      </w:r>
      <w:r w:rsidR="005E12E5">
        <w:rPr>
          <w:bCs/>
          <w:color w:val="000000" w:themeColor="text1"/>
          <w:lang w:val="sq-AL"/>
        </w:rPr>
        <w:t xml:space="preserve"> %  </w:t>
      </w:r>
    </w:p>
    <w:p w:rsidR="005E12E5" w:rsidRPr="00D12440" w:rsidRDefault="005E12E5" w:rsidP="009D23D8">
      <w:pPr>
        <w:pStyle w:val="ListParagraph"/>
        <w:numPr>
          <w:ilvl w:val="0"/>
          <w:numId w:val="22"/>
        </w:numPr>
        <w:rPr>
          <w:bCs/>
          <w:color w:val="000000" w:themeColor="text1"/>
          <w:lang w:val="sq-AL"/>
        </w:rPr>
      </w:pPr>
      <w:r>
        <w:rPr>
          <w:bCs/>
          <w:color w:val="000000" w:themeColor="text1"/>
          <w:lang w:val="sq-AL"/>
        </w:rPr>
        <w:t>Subvencionet dhe Trans</w:t>
      </w:r>
      <w:r w:rsidR="004B1A35">
        <w:rPr>
          <w:bCs/>
          <w:color w:val="000000" w:themeColor="text1"/>
          <w:lang w:val="sq-AL"/>
        </w:rPr>
        <w:t>feret                        2.83</w:t>
      </w:r>
      <w:r>
        <w:rPr>
          <w:bCs/>
          <w:color w:val="000000" w:themeColor="text1"/>
          <w:lang w:val="sq-AL"/>
        </w:rPr>
        <w:t>%</w:t>
      </w:r>
    </w:p>
    <w:p w:rsidR="00C91DAC" w:rsidRDefault="005C7551" w:rsidP="00D12440">
      <w:pPr>
        <w:pStyle w:val="ListParagraph"/>
        <w:numPr>
          <w:ilvl w:val="0"/>
          <w:numId w:val="22"/>
        </w:numPr>
        <w:rPr>
          <w:bCs/>
          <w:color w:val="000000" w:themeColor="text1"/>
          <w:lang w:val="sq-AL"/>
        </w:rPr>
      </w:pPr>
      <w:r>
        <w:rPr>
          <w:bCs/>
          <w:color w:val="000000" w:themeColor="text1"/>
          <w:lang w:val="sq-AL"/>
        </w:rPr>
        <w:t xml:space="preserve">Shpenzime  Kapitale   </w:t>
      </w:r>
      <w:r>
        <w:rPr>
          <w:bCs/>
          <w:color w:val="000000" w:themeColor="text1"/>
          <w:lang w:val="sq-AL"/>
        </w:rPr>
        <w:tab/>
      </w:r>
      <w:r>
        <w:rPr>
          <w:bCs/>
          <w:color w:val="000000" w:themeColor="text1"/>
          <w:lang w:val="sq-AL"/>
        </w:rPr>
        <w:tab/>
      </w:r>
      <w:r>
        <w:rPr>
          <w:bCs/>
          <w:color w:val="000000" w:themeColor="text1"/>
          <w:lang w:val="sq-AL"/>
        </w:rPr>
        <w:tab/>
        <w:t xml:space="preserve">  </w:t>
      </w:r>
      <w:r w:rsidR="004B1A35">
        <w:rPr>
          <w:bCs/>
          <w:color w:val="000000" w:themeColor="text1"/>
          <w:lang w:val="sq-AL"/>
        </w:rPr>
        <w:t>12.13</w:t>
      </w:r>
      <w:r w:rsidR="009D23D8" w:rsidRPr="00D12440">
        <w:rPr>
          <w:bCs/>
          <w:color w:val="000000" w:themeColor="text1"/>
          <w:lang w:val="sq-AL"/>
        </w:rPr>
        <w:t xml:space="preserve"> %. </w:t>
      </w:r>
    </w:p>
    <w:p w:rsidR="008C4B1C" w:rsidRPr="00D12440" w:rsidRDefault="008C4B1C" w:rsidP="008C4B1C">
      <w:pPr>
        <w:pStyle w:val="ListParagraph"/>
        <w:ind w:left="1440"/>
        <w:rPr>
          <w:bCs/>
          <w:color w:val="000000" w:themeColor="text1"/>
          <w:lang w:val="sq-AL"/>
        </w:rPr>
      </w:pPr>
    </w:p>
    <w:p w:rsidR="00D12440" w:rsidRPr="008C4B1C" w:rsidRDefault="00C91DAC" w:rsidP="008C4B1C">
      <w:pPr>
        <w:pStyle w:val="ListParagraph"/>
        <w:numPr>
          <w:ilvl w:val="0"/>
          <w:numId w:val="44"/>
        </w:numPr>
        <w:tabs>
          <w:tab w:val="num" w:pos="450"/>
        </w:tabs>
        <w:spacing w:after="0" w:line="240" w:lineRule="auto"/>
        <w:rPr>
          <w:b/>
          <w:bCs/>
          <w:color w:val="000000" w:themeColor="text1"/>
          <w:lang w:val="sq-AL"/>
        </w:rPr>
      </w:pPr>
      <w:r w:rsidRPr="008C4B1C">
        <w:rPr>
          <w:b/>
          <w:bCs/>
          <w:color w:val="000000" w:themeColor="text1"/>
          <w:lang w:val="sq-AL"/>
        </w:rPr>
        <w:t>Pje</w:t>
      </w:r>
      <w:r w:rsidR="00636303" w:rsidRPr="008C4B1C">
        <w:rPr>
          <w:b/>
          <w:bCs/>
          <w:color w:val="000000" w:themeColor="text1"/>
          <w:lang w:val="sq-AL"/>
        </w:rPr>
        <w:t xml:space="preserve">sëmarrja në shpenzimin total  sipas </w:t>
      </w:r>
      <w:r w:rsidRPr="008C4B1C">
        <w:rPr>
          <w:b/>
          <w:bCs/>
          <w:color w:val="000000" w:themeColor="text1"/>
          <w:lang w:val="sq-AL"/>
        </w:rPr>
        <w:t xml:space="preserve"> Programeve  Buxhetore:</w:t>
      </w:r>
    </w:p>
    <w:p w:rsidR="00C91DAC" w:rsidRPr="00D12440" w:rsidRDefault="00E81484" w:rsidP="00D12440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b/>
          <w:bCs/>
          <w:color w:val="000000" w:themeColor="text1"/>
          <w:lang w:val="sq-AL"/>
        </w:rPr>
      </w:pPr>
      <w:r>
        <w:rPr>
          <w:bCs/>
          <w:color w:val="000000" w:themeColor="text1"/>
          <w:lang w:val="sq-AL"/>
        </w:rPr>
        <w:t xml:space="preserve">Arsimi                         </w:t>
      </w:r>
      <w:r w:rsidR="00D12440" w:rsidRPr="00D12440">
        <w:rPr>
          <w:bCs/>
          <w:color w:val="000000" w:themeColor="text1"/>
          <w:lang w:val="sq-AL"/>
        </w:rPr>
        <w:t xml:space="preserve"> </w:t>
      </w:r>
      <w:r w:rsidR="00D12440">
        <w:rPr>
          <w:bCs/>
          <w:color w:val="000000" w:themeColor="text1"/>
          <w:lang w:val="sq-AL"/>
        </w:rPr>
        <w:tab/>
      </w:r>
      <w:r w:rsidR="00D12440">
        <w:rPr>
          <w:bCs/>
          <w:color w:val="000000" w:themeColor="text1"/>
          <w:lang w:val="sq-AL"/>
        </w:rPr>
        <w:tab/>
      </w:r>
      <w:r w:rsidR="00D12440">
        <w:rPr>
          <w:bCs/>
          <w:color w:val="000000" w:themeColor="text1"/>
          <w:lang w:val="sq-AL"/>
        </w:rPr>
        <w:tab/>
      </w:r>
      <w:r w:rsidR="00831B31">
        <w:rPr>
          <w:bCs/>
          <w:color w:val="000000" w:themeColor="text1"/>
          <w:lang w:val="sq-AL"/>
        </w:rPr>
        <w:t>52.04</w:t>
      </w:r>
      <w:r w:rsidR="00C91DAC" w:rsidRPr="00D12440">
        <w:rPr>
          <w:bCs/>
          <w:color w:val="000000" w:themeColor="text1"/>
          <w:lang w:val="sq-AL"/>
        </w:rPr>
        <w:t>% ,</w:t>
      </w:r>
    </w:p>
    <w:p w:rsidR="00C91DAC" w:rsidRPr="00D12440" w:rsidRDefault="00C91DAC" w:rsidP="00C91DA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b/>
          <w:bCs/>
          <w:color w:val="000000" w:themeColor="text1"/>
          <w:lang w:val="sq-AL"/>
        </w:rPr>
      </w:pPr>
      <w:r w:rsidRPr="00D12440">
        <w:rPr>
          <w:bCs/>
          <w:color w:val="000000" w:themeColor="text1"/>
          <w:lang w:val="sq-AL"/>
        </w:rPr>
        <w:t>Sh</w:t>
      </w:r>
      <w:r w:rsidR="00D12440" w:rsidRPr="00D12440">
        <w:rPr>
          <w:bCs/>
          <w:color w:val="000000" w:themeColor="text1"/>
          <w:lang w:val="sq-AL"/>
        </w:rPr>
        <w:t xml:space="preserve">ëndetësia  dhe  M.Sociale  </w:t>
      </w:r>
      <w:r w:rsidR="00D12440">
        <w:rPr>
          <w:bCs/>
          <w:color w:val="000000" w:themeColor="text1"/>
          <w:lang w:val="sq-AL"/>
        </w:rPr>
        <w:tab/>
      </w:r>
      <w:r w:rsidR="00D12440">
        <w:rPr>
          <w:bCs/>
          <w:color w:val="000000" w:themeColor="text1"/>
          <w:lang w:val="sq-AL"/>
        </w:rPr>
        <w:tab/>
      </w:r>
      <w:r w:rsidR="00831B31">
        <w:rPr>
          <w:bCs/>
          <w:color w:val="000000" w:themeColor="text1"/>
          <w:lang w:val="sq-AL"/>
        </w:rPr>
        <w:t>15.60</w:t>
      </w:r>
      <w:r w:rsidRPr="00D12440">
        <w:rPr>
          <w:bCs/>
          <w:color w:val="000000" w:themeColor="text1"/>
          <w:lang w:val="sq-AL"/>
        </w:rPr>
        <w:t xml:space="preserve">% </w:t>
      </w:r>
      <w:r w:rsidR="00D12440" w:rsidRPr="00D12440">
        <w:rPr>
          <w:bCs/>
          <w:color w:val="000000" w:themeColor="text1"/>
          <w:lang w:val="sq-AL"/>
        </w:rPr>
        <w:t xml:space="preserve">dhe </w:t>
      </w:r>
    </w:p>
    <w:p w:rsidR="00C91DAC" w:rsidRPr="00D12440" w:rsidRDefault="00C91DAC" w:rsidP="005C776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b/>
          <w:bCs/>
          <w:color w:val="000000" w:themeColor="text1"/>
          <w:lang w:val="sq-AL"/>
        </w:rPr>
      </w:pPr>
      <w:r w:rsidRPr="00D12440">
        <w:rPr>
          <w:bCs/>
          <w:color w:val="000000" w:themeColor="text1"/>
          <w:lang w:val="sq-AL"/>
        </w:rPr>
        <w:t>Administ</w:t>
      </w:r>
      <w:r w:rsidR="00D12440" w:rsidRPr="00D12440">
        <w:rPr>
          <w:bCs/>
          <w:color w:val="000000" w:themeColor="text1"/>
          <w:lang w:val="sq-AL"/>
        </w:rPr>
        <w:t xml:space="preserve">rata Komunale  </w:t>
      </w:r>
      <w:r w:rsidR="00D12440">
        <w:rPr>
          <w:bCs/>
          <w:color w:val="000000" w:themeColor="text1"/>
          <w:lang w:val="sq-AL"/>
        </w:rPr>
        <w:tab/>
      </w:r>
      <w:r w:rsidR="00D12440">
        <w:rPr>
          <w:bCs/>
          <w:color w:val="000000" w:themeColor="text1"/>
          <w:lang w:val="sq-AL"/>
        </w:rPr>
        <w:tab/>
      </w:r>
      <w:r w:rsidR="00D12440">
        <w:rPr>
          <w:bCs/>
          <w:color w:val="000000" w:themeColor="text1"/>
          <w:lang w:val="sq-AL"/>
        </w:rPr>
        <w:tab/>
      </w:r>
      <w:r w:rsidR="00831B31">
        <w:rPr>
          <w:bCs/>
          <w:color w:val="000000" w:themeColor="text1"/>
          <w:lang w:val="sq-AL"/>
        </w:rPr>
        <w:t>32.35</w:t>
      </w:r>
      <w:r w:rsidRPr="00D12440">
        <w:rPr>
          <w:bCs/>
          <w:color w:val="000000" w:themeColor="text1"/>
          <w:lang w:val="sq-AL"/>
        </w:rPr>
        <w:t xml:space="preserve">%. </w:t>
      </w:r>
    </w:p>
    <w:p w:rsidR="00D12440" w:rsidRPr="00D12440" w:rsidRDefault="00D12440" w:rsidP="00D12440">
      <w:pPr>
        <w:pStyle w:val="ListParagraph"/>
        <w:spacing w:after="0" w:line="240" w:lineRule="auto"/>
        <w:ind w:left="1080"/>
        <w:jc w:val="both"/>
        <w:rPr>
          <w:b/>
          <w:bCs/>
          <w:color w:val="000000" w:themeColor="text1"/>
          <w:lang w:val="sq-AL"/>
        </w:rPr>
      </w:pPr>
    </w:p>
    <w:p w:rsidR="000D1877" w:rsidRPr="00F02851" w:rsidRDefault="000D1877">
      <w:pPr>
        <w:rPr>
          <w:b/>
        </w:rPr>
      </w:pPr>
    </w:p>
    <w:p w:rsidR="00F02851" w:rsidRDefault="00F02851">
      <w:pPr>
        <w:sectPr w:rsidR="00F02851" w:rsidSect="00D93B44">
          <w:footerReference w:type="default" r:id="rId16"/>
          <w:pgSz w:w="12240" w:h="15840" w:code="1"/>
          <w:pgMar w:top="720" w:right="720" w:bottom="720" w:left="720" w:header="720" w:footer="720" w:gutter="0"/>
          <w:pgNumType w:start="0"/>
          <w:cols w:space="720"/>
          <w:titlePg/>
          <w:docGrid w:linePitch="360"/>
        </w:sectPr>
      </w:pPr>
    </w:p>
    <w:p w:rsidR="00700604" w:rsidRDefault="00940AF4">
      <w:pPr>
        <w:sectPr w:rsidR="00700604" w:rsidSect="00F02851">
          <w:pgSz w:w="15840" w:h="12240" w:orient="landscape" w:code="1"/>
          <w:pgMar w:top="720" w:right="720" w:bottom="720" w:left="720" w:header="720" w:footer="720" w:gutter="0"/>
          <w:pgNumType w:start="0"/>
          <w:cols w:space="720"/>
          <w:titlePg/>
          <w:docGrid w:linePitch="360"/>
        </w:sectPr>
      </w:pPr>
      <w:r w:rsidRPr="00940AF4">
        <w:lastRenderedPageBreak/>
        <w:drawing>
          <wp:inline distT="0" distB="0" distL="0" distR="0">
            <wp:extent cx="9144000" cy="6967521"/>
            <wp:effectExtent l="0" t="0" r="0" b="508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967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850" w:rsidRDefault="00FC5850">
      <w:pPr>
        <w:rPr>
          <w:noProof/>
        </w:rPr>
      </w:pPr>
    </w:p>
    <w:p w:rsidR="00FC5850" w:rsidRDefault="00FC5850" w:rsidP="00FC5850">
      <w:pPr>
        <w:tabs>
          <w:tab w:val="left" w:pos="1465"/>
        </w:tabs>
      </w:pPr>
    </w:p>
    <w:p w:rsidR="00FC5850" w:rsidRDefault="00FC5850" w:rsidP="00FC5850">
      <w:pPr>
        <w:tabs>
          <w:tab w:val="left" w:pos="1465"/>
        </w:tabs>
      </w:pPr>
      <w:r w:rsidRPr="00FC5850">
        <w:drawing>
          <wp:inline distT="0" distB="0" distL="0" distR="0">
            <wp:extent cx="6858000" cy="2121728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121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440" w:rsidRDefault="00FC5850" w:rsidP="00FC5850">
      <w:pPr>
        <w:tabs>
          <w:tab w:val="left" w:pos="1465"/>
        </w:tabs>
      </w:pPr>
      <w:r>
        <w:tab/>
      </w:r>
    </w:p>
    <w:p w:rsidR="00FC5850" w:rsidRDefault="00BF0410" w:rsidP="00FC5850">
      <w:pPr>
        <w:tabs>
          <w:tab w:val="left" w:pos="1465"/>
        </w:tabs>
      </w:pPr>
      <w:r w:rsidRPr="00BF0410">
        <w:drawing>
          <wp:inline distT="0" distB="0" distL="0" distR="0">
            <wp:extent cx="6858000" cy="5245144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245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850" w:rsidRDefault="00FC5850" w:rsidP="00FC5850">
      <w:pPr>
        <w:tabs>
          <w:tab w:val="left" w:pos="1465"/>
        </w:tabs>
      </w:pPr>
    </w:p>
    <w:p w:rsidR="00FC5850" w:rsidRPr="00FC5850" w:rsidRDefault="00FC5850" w:rsidP="00FC5850">
      <w:pPr>
        <w:tabs>
          <w:tab w:val="left" w:pos="1465"/>
        </w:tabs>
        <w:sectPr w:rsidR="00FC5850" w:rsidRPr="00FC5850" w:rsidSect="00F02851">
          <w:pgSz w:w="12240" w:h="15840" w:code="1"/>
          <w:pgMar w:top="720" w:right="720" w:bottom="720" w:left="720" w:header="720" w:footer="720" w:gutter="0"/>
          <w:pgNumType w:start="0"/>
          <w:cols w:space="720"/>
          <w:titlePg/>
          <w:docGrid w:linePitch="360"/>
        </w:sectPr>
      </w:pPr>
    </w:p>
    <w:p w:rsidR="00CE2A2E" w:rsidRDefault="00FC5850">
      <w:r w:rsidRPr="00FC5850">
        <w:lastRenderedPageBreak/>
        <w:drawing>
          <wp:inline distT="0" distB="0" distL="0" distR="0">
            <wp:extent cx="6858000" cy="572228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72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7BD" w:rsidRDefault="003117BD"/>
    <w:p w:rsidR="00EB4675" w:rsidRDefault="00EB4675"/>
    <w:p w:rsidR="002353CF" w:rsidRDefault="002353CF"/>
    <w:p w:rsidR="009021AB" w:rsidRDefault="009021AB"/>
    <w:p w:rsidR="009021AB" w:rsidRDefault="009021AB"/>
    <w:p w:rsidR="009021AB" w:rsidRDefault="009021AB"/>
    <w:p w:rsidR="00D17B59" w:rsidRDefault="00D17B59"/>
    <w:p w:rsidR="00D17B59" w:rsidRDefault="00D17B59"/>
    <w:p w:rsidR="0066194A" w:rsidRDefault="0066194A"/>
    <w:p w:rsidR="00D17B59" w:rsidRPr="00D17B59" w:rsidRDefault="00D17B59">
      <w:pPr>
        <w:rPr>
          <w:b/>
          <w:i/>
        </w:rPr>
      </w:pPr>
    </w:p>
    <w:p w:rsidR="00897A24" w:rsidRDefault="001C1056" w:rsidP="001C1056">
      <w:pPr>
        <w:jc w:val="center"/>
      </w:pPr>
      <w:r w:rsidRPr="001C1056">
        <w:lastRenderedPageBreak/>
        <w:drawing>
          <wp:inline distT="0" distB="0" distL="0" distR="0">
            <wp:extent cx="6858000" cy="9424300"/>
            <wp:effectExtent l="0" t="0" r="0" b="571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4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A24" w:rsidRDefault="001C1056">
      <w:r w:rsidRPr="001C1056">
        <w:lastRenderedPageBreak/>
        <w:drawing>
          <wp:inline distT="0" distB="0" distL="0" distR="0">
            <wp:extent cx="6858000" cy="7820804"/>
            <wp:effectExtent l="0" t="0" r="0" b="889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820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A24" w:rsidRDefault="00897A24"/>
    <w:p w:rsidR="00897A24" w:rsidRDefault="00897A24"/>
    <w:p w:rsidR="001C1056" w:rsidRDefault="001C1056"/>
    <w:p w:rsidR="001C1056" w:rsidRDefault="001C1056">
      <w:r w:rsidRPr="001C1056">
        <w:lastRenderedPageBreak/>
        <w:drawing>
          <wp:inline distT="0" distB="0" distL="0" distR="0">
            <wp:extent cx="6858000" cy="2588933"/>
            <wp:effectExtent l="0" t="0" r="0" b="190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58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A24" w:rsidRDefault="00897A24"/>
    <w:p w:rsidR="00897A24" w:rsidRDefault="00897A24"/>
    <w:p w:rsidR="00897A24" w:rsidRDefault="00897A24"/>
    <w:p w:rsidR="00897A24" w:rsidRDefault="00897A24"/>
    <w:p w:rsidR="002D1C22" w:rsidRDefault="002D1C22"/>
    <w:p w:rsidR="002D1C22" w:rsidRDefault="002D1C22"/>
    <w:p w:rsidR="002D1C22" w:rsidRDefault="002D1C22"/>
    <w:p w:rsidR="002D1C22" w:rsidRDefault="002D1C22"/>
    <w:p w:rsidR="002D1C22" w:rsidRDefault="002D1C22"/>
    <w:p w:rsidR="002D1C22" w:rsidRDefault="002D1C22"/>
    <w:p w:rsidR="002D1C22" w:rsidRDefault="002D1C22"/>
    <w:p w:rsidR="002D1C22" w:rsidRDefault="002D1C22"/>
    <w:p w:rsidR="002D1C22" w:rsidRDefault="002D1C22"/>
    <w:p w:rsidR="002D1C22" w:rsidRDefault="002D1C22"/>
    <w:p w:rsidR="002D1C22" w:rsidRDefault="002D1C22"/>
    <w:p w:rsidR="00897A24" w:rsidRDefault="00897A24"/>
    <w:p w:rsidR="00897A24" w:rsidRDefault="00897A24" w:rsidP="00897A24">
      <w:pPr>
        <w:jc w:val="center"/>
      </w:pPr>
    </w:p>
    <w:p w:rsidR="00B73F7C" w:rsidRDefault="00B73F7C">
      <w:pPr>
        <w:sectPr w:rsidR="00B73F7C" w:rsidSect="00D93B44">
          <w:pgSz w:w="12240" w:h="15840" w:code="1"/>
          <w:pgMar w:top="720" w:right="720" w:bottom="720" w:left="720" w:header="720" w:footer="720" w:gutter="0"/>
          <w:pgNumType w:start="0"/>
          <w:cols w:space="720"/>
          <w:titlePg/>
          <w:docGrid w:linePitch="360"/>
        </w:sectPr>
      </w:pPr>
    </w:p>
    <w:p w:rsidR="00B960B0" w:rsidRDefault="00B960B0"/>
    <w:p w:rsidR="00B960B0" w:rsidRDefault="00B960B0"/>
    <w:p w:rsidR="00B960B0" w:rsidRDefault="00B960B0"/>
    <w:p w:rsidR="00072EC8" w:rsidRDefault="00DA513C">
      <w:r>
        <w:softHyphen/>
      </w:r>
    </w:p>
    <w:p w:rsidR="005B5834" w:rsidRDefault="005B5834"/>
    <w:p w:rsidR="005B5834" w:rsidRDefault="005B5834"/>
    <w:p w:rsidR="005B5834" w:rsidRDefault="005B5834">
      <w:pPr>
        <w:sectPr w:rsidR="005B5834" w:rsidSect="007756C3">
          <w:pgSz w:w="15840" w:h="12240" w:orient="landscape" w:code="1"/>
          <w:pgMar w:top="720" w:right="720" w:bottom="720" w:left="720" w:header="720" w:footer="720" w:gutter="0"/>
          <w:pgNumType w:start="0"/>
          <w:cols w:space="720"/>
          <w:titlePg/>
          <w:docGrid w:linePitch="360"/>
        </w:sectPr>
      </w:pPr>
    </w:p>
    <w:p w:rsidR="00086510" w:rsidRDefault="00086510"/>
    <w:sectPr w:rsidR="00086510" w:rsidSect="00B73F7C">
      <w:pgSz w:w="12240" w:h="15840" w:code="1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E99" w:rsidRDefault="009D7E99" w:rsidP="006C5B15">
      <w:pPr>
        <w:spacing w:after="0" w:line="240" w:lineRule="auto"/>
      </w:pPr>
      <w:r>
        <w:separator/>
      </w:r>
    </w:p>
  </w:endnote>
  <w:endnote w:type="continuationSeparator" w:id="0">
    <w:p w:rsidR="009D7E99" w:rsidRDefault="009D7E99" w:rsidP="006C5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T18B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39543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1CEB" w:rsidRDefault="00D41C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2CF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41CEB" w:rsidRDefault="00D41C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E99" w:rsidRDefault="009D7E99" w:rsidP="006C5B15">
      <w:pPr>
        <w:spacing w:after="0" w:line="240" w:lineRule="auto"/>
      </w:pPr>
      <w:r>
        <w:separator/>
      </w:r>
    </w:p>
  </w:footnote>
  <w:footnote w:type="continuationSeparator" w:id="0">
    <w:p w:rsidR="009D7E99" w:rsidRDefault="009D7E99" w:rsidP="006C5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B38"/>
    <w:multiLevelType w:val="hybridMultilevel"/>
    <w:tmpl w:val="A3FEEC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75F48"/>
    <w:multiLevelType w:val="hybridMultilevel"/>
    <w:tmpl w:val="287471A0"/>
    <w:lvl w:ilvl="0" w:tplc="4E708C0A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10105"/>
    <w:multiLevelType w:val="hybridMultilevel"/>
    <w:tmpl w:val="8F8C8444"/>
    <w:lvl w:ilvl="0" w:tplc="63C27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2007A"/>
    <w:multiLevelType w:val="hybridMultilevel"/>
    <w:tmpl w:val="F6827ABA"/>
    <w:lvl w:ilvl="0" w:tplc="6D3890F2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239AD"/>
    <w:multiLevelType w:val="hybridMultilevel"/>
    <w:tmpl w:val="9A10BDF0"/>
    <w:lvl w:ilvl="0" w:tplc="4E708C0A">
      <w:start w:val="5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50CB7"/>
    <w:multiLevelType w:val="hybridMultilevel"/>
    <w:tmpl w:val="48AAF336"/>
    <w:lvl w:ilvl="0" w:tplc="DC10D2C4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66672"/>
    <w:multiLevelType w:val="hybridMultilevel"/>
    <w:tmpl w:val="FBFEE4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85E5E"/>
    <w:multiLevelType w:val="hybridMultilevel"/>
    <w:tmpl w:val="FDC4FB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957F7"/>
    <w:multiLevelType w:val="hybridMultilevel"/>
    <w:tmpl w:val="D548E6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16AB2"/>
    <w:multiLevelType w:val="hybridMultilevel"/>
    <w:tmpl w:val="317859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5142FE"/>
    <w:multiLevelType w:val="hybridMultilevel"/>
    <w:tmpl w:val="AECA254C"/>
    <w:lvl w:ilvl="0" w:tplc="4E708C0A">
      <w:start w:val="1"/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4A0C90"/>
    <w:multiLevelType w:val="hybridMultilevel"/>
    <w:tmpl w:val="6F1E496E"/>
    <w:lvl w:ilvl="0" w:tplc="5ECC452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51FC1"/>
    <w:multiLevelType w:val="hybridMultilevel"/>
    <w:tmpl w:val="E848BB8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26108B5"/>
    <w:multiLevelType w:val="hybridMultilevel"/>
    <w:tmpl w:val="E2D810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F40597"/>
    <w:multiLevelType w:val="hybridMultilevel"/>
    <w:tmpl w:val="2166CAC8"/>
    <w:lvl w:ilvl="0" w:tplc="4E708C0A">
      <w:start w:val="1"/>
      <w:numFmt w:val="bullet"/>
      <w:lvlText w:val="-"/>
      <w:lvlJc w:val="left"/>
      <w:pPr>
        <w:ind w:left="1125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 w15:restartNumberingAfterBreak="0">
    <w:nsid w:val="27995273"/>
    <w:multiLevelType w:val="hybridMultilevel"/>
    <w:tmpl w:val="6FE06CC0"/>
    <w:lvl w:ilvl="0" w:tplc="261668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6795A"/>
    <w:multiLevelType w:val="hybridMultilevel"/>
    <w:tmpl w:val="B7189476"/>
    <w:lvl w:ilvl="0" w:tplc="4E708C0A">
      <w:start w:val="5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D0B42"/>
    <w:multiLevelType w:val="hybridMultilevel"/>
    <w:tmpl w:val="5B125672"/>
    <w:lvl w:ilvl="0" w:tplc="26865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DB7734"/>
    <w:multiLevelType w:val="hybridMultilevel"/>
    <w:tmpl w:val="068C712C"/>
    <w:lvl w:ilvl="0" w:tplc="D76853CA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507785"/>
    <w:multiLevelType w:val="hybridMultilevel"/>
    <w:tmpl w:val="2DD6E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311CF"/>
    <w:multiLevelType w:val="hybridMultilevel"/>
    <w:tmpl w:val="C3D40F2C"/>
    <w:lvl w:ilvl="0" w:tplc="4E708C0A">
      <w:start w:val="1"/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95C4639"/>
    <w:multiLevelType w:val="hybridMultilevel"/>
    <w:tmpl w:val="C96E10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F24123"/>
    <w:multiLevelType w:val="hybridMultilevel"/>
    <w:tmpl w:val="C8DC4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1E2FF2"/>
    <w:multiLevelType w:val="hybridMultilevel"/>
    <w:tmpl w:val="8C12FEE4"/>
    <w:lvl w:ilvl="0" w:tplc="CFA6C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9F603C"/>
    <w:multiLevelType w:val="hybridMultilevel"/>
    <w:tmpl w:val="56EE4D14"/>
    <w:lvl w:ilvl="0" w:tplc="CD04D2B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355E46"/>
    <w:multiLevelType w:val="hybridMultilevel"/>
    <w:tmpl w:val="53BA7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6372F"/>
    <w:multiLevelType w:val="hybridMultilevel"/>
    <w:tmpl w:val="71F40B86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464A3CCE"/>
    <w:multiLevelType w:val="hybridMultilevel"/>
    <w:tmpl w:val="EC646BAE"/>
    <w:lvl w:ilvl="0" w:tplc="26865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6806199"/>
    <w:multiLevelType w:val="hybridMultilevel"/>
    <w:tmpl w:val="70E0E024"/>
    <w:lvl w:ilvl="0" w:tplc="2CBEE7B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732DFC"/>
    <w:multiLevelType w:val="hybridMultilevel"/>
    <w:tmpl w:val="FFF647CA"/>
    <w:lvl w:ilvl="0" w:tplc="4E708C0A">
      <w:start w:val="1"/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E27008C"/>
    <w:multiLevelType w:val="hybridMultilevel"/>
    <w:tmpl w:val="AD8C7C32"/>
    <w:lvl w:ilvl="0" w:tplc="B37C0D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3E23F38"/>
    <w:multiLevelType w:val="hybridMultilevel"/>
    <w:tmpl w:val="CE0884AE"/>
    <w:lvl w:ilvl="0" w:tplc="26865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5B35E1"/>
    <w:multiLevelType w:val="hybridMultilevel"/>
    <w:tmpl w:val="AB56A03E"/>
    <w:lvl w:ilvl="0" w:tplc="34200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6D41A1"/>
    <w:multiLevelType w:val="hybridMultilevel"/>
    <w:tmpl w:val="3C144226"/>
    <w:lvl w:ilvl="0" w:tplc="0CF439D0">
      <w:start w:val="1"/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C1D02D4"/>
    <w:multiLevelType w:val="hybridMultilevel"/>
    <w:tmpl w:val="3176C4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B575A"/>
    <w:multiLevelType w:val="hybridMultilevel"/>
    <w:tmpl w:val="B21C634C"/>
    <w:lvl w:ilvl="0" w:tplc="4E708C0A">
      <w:start w:val="1"/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34E739C"/>
    <w:multiLevelType w:val="hybridMultilevel"/>
    <w:tmpl w:val="9E8AAB02"/>
    <w:lvl w:ilvl="0" w:tplc="43B04926">
      <w:start w:val="5"/>
      <w:numFmt w:val="bullet"/>
      <w:lvlText w:val="-"/>
      <w:lvlJc w:val="left"/>
      <w:pPr>
        <w:ind w:left="405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7" w15:restartNumberingAfterBreak="0">
    <w:nsid w:val="6C7D42C9"/>
    <w:multiLevelType w:val="hybridMultilevel"/>
    <w:tmpl w:val="E3A492CC"/>
    <w:lvl w:ilvl="0" w:tplc="C9D466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F654B78"/>
    <w:multiLevelType w:val="hybridMultilevel"/>
    <w:tmpl w:val="FAAAF228"/>
    <w:lvl w:ilvl="0" w:tplc="4E708C0A">
      <w:start w:val="1"/>
      <w:numFmt w:val="bullet"/>
      <w:lvlText w:val="-"/>
      <w:lvlJc w:val="left"/>
      <w:pPr>
        <w:ind w:left="163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9" w15:restartNumberingAfterBreak="0">
    <w:nsid w:val="71300AA9"/>
    <w:multiLevelType w:val="hybridMultilevel"/>
    <w:tmpl w:val="3D2C2E78"/>
    <w:lvl w:ilvl="0" w:tplc="FE04831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062AA2"/>
    <w:multiLevelType w:val="hybridMultilevel"/>
    <w:tmpl w:val="D03654D4"/>
    <w:lvl w:ilvl="0" w:tplc="1FB26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36C77"/>
    <w:multiLevelType w:val="hybridMultilevel"/>
    <w:tmpl w:val="A63E43A2"/>
    <w:lvl w:ilvl="0" w:tplc="C2665A88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2" w15:restartNumberingAfterBreak="0">
    <w:nsid w:val="787155D3"/>
    <w:multiLevelType w:val="hybridMultilevel"/>
    <w:tmpl w:val="1798742E"/>
    <w:lvl w:ilvl="0" w:tplc="D2BCF7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B1353BF"/>
    <w:multiLevelType w:val="hybridMultilevel"/>
    <w:tmpl w:val="237A72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0D3BC3"/>
    <w:multiLevelType w:val="hybridMultilevel"/>
    <w:tmpl w:val="39EED9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15"/>
  </w:num>
  <w:num w:numId="4">
    <w:abstractNumId w:val="32"/>
  </w:num>
  <w:num w:numId="5">
    <w:abstractNumId w:val="23"/>
  </w:num>
  <w:num w:numId="6">
    <w:abstractNumId w:val="44"/>
  </w:num>
  <w:num w:numId="7">
    <w:abstractNumId w:val="12"/>
  </w:num>
  <w:num w:numId="8">
    <w:abstractNumId w:val="9"/>
  </w:num>
  <w:num w:numId="9">
    <w:abstractNumId w:val="5"/>
  </w:num>
  <w:num w:numId="10">
    <w:abstractNumId w:val="43"/>
  </w:num>
  <w:num w:numId="11">
    <w:abstractNumId w:val="2"/>
  </w:num>
  <w:num w:numId="12">
    <w:abstractNumId w:val="28"/>
  </w:num>
  <w:num w:numId="13">
    <w:abstractNumId w:val="24"/>
  </w:num>
  <w:num w:numId="14">
    <w:abstractNumId w:val="39"/>
  </w:num>
  <w:num w:numId="15">
    <w:abstractNumId w:val="40"/>
  </w:num>
  <w:num w:numId="16">
    <w:abstractNumId w:val="3"/>
  </w:num>
  <w:num w:numId="17">
    <w:abstractNumId w:val="17"/>
  </w:num>
  <w:num w:numId="18">
    <w:abstractNumId w:val="31"/>
  </w:num>
  <w:num w:numId="19">
    <w:abstractNumId w:val="37"/>
  </w:num>
  <w:num w:numId="20">
    <w:abstractNumId w:val="19"/>
  </w:num>
  <w:num w:numId="21">
    <w:abstractNumId w:val="27"/>
  </w:num>
  <w:num w:numId="22">
    <w:abstractNumId w:val="30"/>
  </w:num>
  <w:num w:numId="23">
    <w:abstractNumId w:val="25"/>
  </w:num>
  <w:num w:numId="24">
    <w:abstractNumId w:val="42"/>
  </w:num>
  <w:num w:numId="25">
    <w:abstractNumId w:val="34"/>
  </w:num>
  <w:num w:numId="26">
    <w:abstractNumId w:val="21"/>
  </w:num>
  <w:num w:numId="27">
    <w:abstractNumId w:val="29"/>
  </w:num>
  <w:num w:numId="28">
    <w:abstractNumId w:val="26"/>
  </w:num>
  <w:num w:numId="29">
    <w:abstractNumId w:val="8"/>
  </w:num>
  <w:num w:numId="30">
    <w:abstractNumId w:val="20"/>
  </w:num>
  <w:num w:numId="31">
    <w:abstractNumId w:val="4"/>
  </w:num>
  <w:num w:numId="32">
    <w:abstractNumId w:val="35"/>
  </w:num>
  <w:num w:numId="33">
    <w:abstractNumId w:val="36"/>
  </w:num>
  <w:num w:numId="34">
    <w:abstractNumId w:val="14"/>
  </w:num>
  <w:num w:numId="35">
    <w:abstractNumId w:val="16"/>
  </w:num>
  <w:num w:numId="36">
    <w:abstractNumId w:val="1"/>
  </w:num>
  <w:num w:numId="37">
    <w:abstractNumId w:val="38"/>
  </w:num>
  <w:num w:numId="38">
    <w:abstractNumId w:val="6"/>
  </w:num>
  <w:num w:numId="39">
    <w:abstractNumId w:val="11"/>
  </w:num>
  <w:num w:numId="40">
    <w:abstractNumId w:val="0"/>
  </w:num>
  <w:num w:numId="41">
    <w:abstractNumId w:val="10"/>
  </w:num>
  <w:num w:numId="42">
    <w:abstractNumId w:val="7"/>
  </w:num>
  <w:num w:numId="43">
    <w:abstractNumId w:val="41"/>
  </w:num>
  <w:num w:numId="44">
    <w:abstractNumId w:val="33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FC0"/>
    <w:rsid w:val="00001DB0"/>
    <w:rsid w:val="00005861"/>
    <w:rsid w:val="00007A80"/>
    <w:rsid w:val="00010B41"/>
    <w:rsid w:val="000135C5"/>
    <w:rsid w:val="00015ABC"/>
    <w:rsid w:val="00021C50"/>
    <w:rsid w:val="0002569A"/>
    <w:rsid w:val="00027066"/>
    <w:rsid w:val="000333D3"/>
    <w:rsid w:val="0003612A"/>
    <w:rsid w:val="00045933"/>
    <w:rsid w:val="00045C67"/>
    <w:rsid w:val="00050385"/>
    <w:rsid w:val="00053D0E"/>
    <w:rsid w:val="0006033B"/>
    <w:rsid w:val="00072EC8"/>
    <w:rsid w:val="000733E8"/>
    <w:rsid w:val="0008044A"/>
    <w:rsid w:val="00086510"/>
    <w:rsid w:val="00092D35"/>
    <w:rsid w:val="0009354E"/>
    <w:rsid w:val="00096B0D"/>
    <w:rsid w:val="000A365A"/>
    <w:rsid w:val="000B1397"/>
    <w:rsid w:val="000C083E"/>
    <w:rsid w:val="000C21B9"/>
    <w:rsid w:val="000C38DA"/>
    <w:rsid w:val="000C4D24"/>
    <w:rsid w:val="000D1877"/>
    <w:rsid w:val="000D3CEB"/>
    <w:rsid w:val="000D43BB"/>
    <w:rsid w:val="000D7174"/>
    <w:rsid w:val="00117FC8"/>
    <w:rsid w:val="00125DBC"/>
    <w:rsid w:val="001373A1"/>
    <w:rsid w:val="001374AC"/>
    <w:rsid w:val="00160677"/>
    <w:rsid w:val="001628ED"/>
    <w:rsid w:val="00172284"/>
    <w:rsid w:val="00175EB2"/>
    <w:rsid w:val="001B0894"/>
    <w:rsid w:val="001B2F6B"/>
    <w:rsid w:val="001B42B6"/>
    <w:rsid w:val="001B692F"/>
    <w:rsid w:val="001B77D7"/>
    <w:rsid w:val="001C052B"/>
    <w:rsid w:val="001C1056"/>
    <w:rsid w:val="001C4FE6"/>
    <w:rsid w:val="001D0EB3"/>
    <w:rsid w:val="001D5E93"/>
    <w:rsid w:val="001D60DD"/>
    <w:rsid w:val="001D79B1"/>
    <w:rsid w:val="001E393D"/>
    <w:rsid w:val="001F3935"/>
    <w:rsid w:val="001F6862"/>
    <w:rsid w:val="00211698"/>
    <w:rsid w:val="002259B5"/>
    <w:rsid w:val="002318A9"/>
    <w:rsid w:val="002353CF"/>
    <w:rsid w:val="002356D8"/>
    <w:rsid w:val="0024690D"/>
    <w:rsid w:val="00247AE3"/>
    <w:rsid w:val="00252CFE"/>
    <w:rsid w:val="002642D3"/>
    <w:rsid w:val="00270620"/>
    <w:rsid w:val="002735B6"/>
    <w:rsid w:val="002832CA"/>
    <w:rsid w:val="00291D8E"/>
    <w:rsid w:val="002A54A4"/>
    <w:rsid w:val="002A5F67"/>
    <w:rsid w:val="002A7DEA"/>
    <w:rsid w:val="002B02E4"/>
    <w:rsid w:val="002B5169"/>
    <w:rsid w:val="002B6B93"/>
    <w:rsid w:val="002B7088"/>
    <w:rsid w:val="002B7B33"/>
    <w:rsid w:val="002C1795"/>
    <w:rsid w:val="002C6715"/>
    <w:rsid w:val="002D1C22"/>
    <w:rsid w:val="002E1583"/>
    <w:rsid w:val="002E77E3"/>
    <w:rsid w:val="002F30FC"/>
    <w:rsid w:val="002F6FE5"/>
    <w:rsid w:val="002F7E97"/>
    <w:rsid w:val="00305BED"/>
    <w:rsid w:val="003065FB"/>
    <w:rsid w:val="003075FB"/>
    <w:rsid w:val="003100EA"/>
    <w:rsid w:val="003117BD"/>
    <w:rsid w:val="003208DB"/>
    <w:rsid w:val="00324F52"/>
    <w:rsid w:val="00326266"/>
    <w:rsid w:val="00327CD3"/>
    <w:rsid w:val="00331D9C"/>
    <w:rsid w:val="003332A2"/>
    <w:rsid w:val="0033453D"/>
    <w:rsid w:val="00335AC8"/>
    <w:rsid w:val="00341A61"/>
    <w:rsid w:val="0034702C"/>
    <w:rsid w:val="003611D6"/>
    <w:rsid w:val="0037371E"/>
    <w:rsid w:val="0037423B"/>
    <w:rsid w:val="00381E8D"/>
    <w:rsid w:val="00384286"/>
    <w:rsid w:val="00386121"/>
    <w:rsid w:val="00392F77"/>
    <w:rsid w:val="003B59AD"/>
    <w:rsid w:val="003C1F2D"/>
    <w:rsid w:val="003C34F7"/>
    <w:rsid w:val="003C3E6F"/>
    <w:rsid w:val="003D1C13"/>
    <w:rsid w:val="003D1D2F"/>
    <w:rsid w:val="003D76D8"/>
    <w:rsid w:val="003E1830"/>
    <w:rsid w:val="003E55DE"/>
    <w:rsid w:val="003E6E6D"/>
    <w:rsid w:val="003E776F"/>
    <w:rsid w:val="003F46AE"/>
    <w:rsid w:val="00415944"/>
    <w:rsid w:val="0041601B"/>
    <w:rsid w:val="004160C0"/>
    <w:rsid w:val="00421BC6"/>
    <w:rsid w:val="00425929"/>
    <w:rsid w:val="00427342"/>
    <w:rsid w:val="0043362F"/>
    <w:rsid w:val="004430E5"/>
    <w:rsid w:val="00446434"/>
    <w:rsid w:val="00454F59"/>
    <w:rsid w:val="0045786E"/>
    <w:rsid w:val="0046647B"/>
    <w:rsid w:val="00476AC8"/>
    <w:rsid w:val="00491108"/>
    <w:rsid w:val="0049447C"/>
    <w:rsid w:val="00494763"/>
    <w:rsid w:val="00496D8B"/>
    <w:rsid w:val="00496ECC"/>
    <w:rsid w:val="004A1CE0"/>
    <w:rsid w:val="004A2224"/>
    <w:rsid w:val="004B1A35"/>
    <w:rsid w:val="004C6806"/>
    <w:rsid w:val="004D2FDF"/>
    <w:rsid w:val="004D49FC"/>
    <w:rsid w:val="004D5A29"/>
    <w:rsid w:val="004E0CC3"/>
    <w:rsid w:val="004E23C3"/>
    <w:rsid w:val="004E5358"/>
    <w:rsid w:val="004E7FDE"/>
    <w:rsid w:val="004F1C5A"/>
    <w:rsid w:val="004F1EE8"/>
    <w:rsid w:val="004F375F"/>
    <w:rsid w:val="004F7FC1"/>
    <w:rsid w:val="0050423F"/>
    <w:rsid w:val="00505E97"/>
    <w:rsid w:val="005079D9"/>
    <w:rsid w:val="0051649A"/>
    <w:rsid w:val="00520652"/>
    <w:rsid w:val="00525E2B"/>
    <w:rsid w:val="00536750"/>
    <w:rsid w:val="005405CB"/>
    <w:rsid w:val="00542271"/>
    <w:rsid w:val="00542495"/>
    <w:rsid w:val="00550DF5"/>
    <w:rsid w:val="00552560"/>
    <w:rsid w:val="00581061"/>
    <w:rsid w:val="00592916"/>
    <w:rsid w:val="00593DDD"/>
    <w:rsid w:val="00595439"/>
    <w:rsid w:val="00595620"/>
    <w:rsid w:val="005A13A4"/>
    <w:rsid w:val="005B3A32"/>
    <w:rsid w:val="005B5834"/>
    <w:rsid w:val="005C128E"/>
    <w:rsid w:val="005C7551"/>
    <w:rsid w:val="005C776C"/>
    <w:rsid w:val="005D12E6"/>
    <w:rsid w:val="005E12E5"/>
    <w:rsid w:val="005F661E"/>
    <w:rsid w:val="00622225"/>
    <w:rsid w:val="00630184"/>
    <w:rsid w:val="00636303"/>
    <w:rsid w:val="0064112D"/>
    <w:rsid w:val="006418E2"/>
    <w:rsid w:val="006440AE"/>
    <w:rsid w:val="00645560"/>
    <w:rsid w:val="00646C71"/>
    <w:rsid w:val="00650FEF"/>
    <w:rsid w:val="0065720B"/>
    <w:rsid w:val="0066194A"/>
    <w:rsid w:val="00681337"/>
    <w:rsid w:val="00686B7D"/>
    <w:rsid w:val="00686D3E"/>
    <w:rsid w:val="006A056E"/>
    <w:rsid w:val="006B28B1"/>
    <w:rsid w:val="006B5D52"/>
    <w:rsid w:val="006C05C9"/>
    <w:rsid w:val="006C0E79"/>
    <w:rsid w:val="006C1BA1"/>
    <w:rsid w:val="006C5B15"/>
    <w:rsid w:val="006D053D"/>
    <w:rsid w:val="006D1DC9"/>
    <w:rsid w:val="006F4219"/>
    <w:rsid w:val="006F4668"/>
    <w:rsid w:val="006F5EBE"/>
    <w:rsid w:val="006F7150"/>
    <w:rsid w:val="00700604"/>
    <w:rsid w:val="00704EB9"/>
    <w:rsid w:val="007060C2"/>
    <w:rsid w:val="00707F0A"/>
    <w:rsid w:val="007216E2"/>
    <w:rsid w:val="00727A8E"/>
    <w:rsid w:val="007633B0"/>
    <w:rsid w:val="00764E59"/>
    <w:rsid w:val="00771519"/>
    <w:rsid w:val="007756C3"/>
    <w:rsid w:val="00775E2F"/>
    <w:rsid w:val="00777392"/>
    <w:rsid w:val="00777C16"/>
    <w:rsid w:val="007925BB"/>
    <w:rsid w:val="00792B20"/>
    <w:rsid w:val="00793520"/>
    <w:rsid w:val="007939CC"/>
    <w:rsid w:val="007960ED"/>
    <w:rsid w:val="007B7816"/>
    <w:rsid w:val="007D372B"/>
    <w:rsid w:val="007D77E3"/>
    <w:rsid w:val="007E1701"/>
    <w:rsid w:val="007F29FF"/>
    <w:rsid w:val="007F7858"/>
    <w:rsid w:val="00807DB8"/>
    <w:rsid w:val="008129B8"/>
    <w:rsid w:val="00813967"/>
    <w:rsid w:val="00813E4B"/>
    <w:rsid w:val="00813EF9"/>
    <w:rsid w:val="008154D1"/>
    <w:rsid w:val="008176E8"/>
    <w:rsid w:val="00825D79"/>
    <w:rsid w:val="00831B31"/>
    <w:rsid w:val="008453B1"/>
    <w:rsid w:val="00847E38"/>
    <w:rsid w:val="008525B1"/>
    <w:rsid w:val="00861E9D"/>
    <w:rsid w:val="008634DC"/>
    <w:rsid w:val="00867FC0"/>
    <w:rsid w:val="00872346"/>
    <w:rsid w:val="00875990"/>
    <w:rsid w:val="00881F92"/>
    <w:rsid w:val="00897A24"/>
    <w:rsid w:val="008A406D"/>
    <w:rsid w:val="008C1396"/>
    <w:rsid w:val="008C4B1C"/>
    <w:rsid w:val="008D1B34"/>
    <w:rsid w:val="008E0104"/>
    <w:rsid w:val="008E2A2A"/>
    <w:rsid w:val="008E44D9"/>
    <w:rsid w:val="008F1B89"/>
    <w:rsid w:val="009021AB"/>
    <w:rsid w:val="00904417"/>
    <w:rsid w:val="00907C18"/>
    <w:rsid w:val="00916389"/>
    <w:rsid w:val="00920E88"/>
    <w:rsid w:val="009265E5"/>
    <w:rsid w:val="00931A06"/>
    <w:rsid w:val="0093315E"/>
    <w:rsid w:val="0093322D"/>
    <w:rsid w:val="00940AF4"/>
    <w:rsid w:val="00941A5D"/>
    <w:rsid w:val="00951159"/>
    <w:rsid w:val="00957BF6"/>
    <w:rsid w:val="00962281"/>
    <w:rsid w:val="009627F4"/>
    <w:rsid w:val="0096699B"/>
    <w:rsid w:val="009739F2"/>
    <w:rsid w:val="009758AC"/>
    <w:rsid w:val="00976288"/>
    <w:rsid w:val="0097756A"/>
    <w:rsid w:val="0099168E"/>
    <w:rsid w:val="009916E4"/>
    <w:rsid w:val="0099472C"/>
    <w:rsid w:val="00994CA5"/>
    <w:rsid w:val="009A2F27"/>
    <w:rsid w:val="009A5CFE"/>
    <w:rsid w:val="009B0277"/>
    <w:rsid w:val="009B1543"/>
    <w:rsid w:val="009B15E8"/>
    <w:rsid w:val="009C00D4"/>
    <w:rsid w:val="009D23D8"/>
    <w:rsid w:val="009D5434"/>
    <w:rsid w:val="009D7E99"/>
    <w:rsid w:val="009E1C38"/>
    <w:rsid w:val="009E6F66"/>
    <w:rsid w:val="009F6385"/>
    <w:rsid w:val="00A030ED"/>
    <w:rsid w:val="00A0459C"/>
    <w:rsid w:val="00A07614"/>
    <w:rsid w:val="00A16DA4"/>
    <w:rsid w:val="00A16EFA"/>
    <w:rsid w:val="00A24A79"/>
    <w:rsid w:val="00A31414"/>
    <w:rsid w:val="00A41E4A"/>
    <w:rsid w:val="00A46674"/>
    <w:rsid w:val="00A562AC"/>
    <w:rsid w:val="00A62975"/>
    <w:rsid w:val="00A62CEF"/>
    <w:rsid w:val="00A62E09"/>
    <w:rsid w:val="00A637B6"/>
    <w:rsid w:val="00A743DD"/>
    <w:rsid w:val="00A74946"/>
    <w:rsid w:val="00A83A2E"/>
    <w:rsid w:val="00A86FED"/>
    <w:rsid w:val="00A878A2"/>
    <w:rsid w:val="00A92426"/>
    <w:rsid w:val="00A953EF"/>
    <w:rsid w:val="00AA1D63"/>
    <w:rsid w:val="00AB06AE"/>
    <w:rsid w:val="00AB08F8"/>
    <w:rsid w:val="00AC48C9"/>
    <w:rsid w:val="00AE5101"/>
    <w:rsid w:val="00B06F64"/>
    <w:rsid w:val="00B16BF7"/>
    <w:rsid w:val="00B1786F"/>
    <w:rsid w:val="00B37C10"/>
    <w:rsid w:val="00B4797E"/>
    <w:rsid w:val="00B5688B"/>
    <w:rsid w:val="00B63398"/>
    <w:rsid w:val="00B67F15"/>
    <w:rsid w:val="00B70B01"/>
    <w:rsid w:val="00B7232F"/>
    <w:rsid w:val="00B731A8"/>
    <w:rsid w:val="00B73F7C"/>
    <w:rsid w:val="00B76146"/>
    <w:rsid w:val="00B77795"/>
    <w:rsid w:val="00B83F82"/>
    <w:rsid w:val="00B958C3"/>
    <w:rsid w:val="00B95D4E"/>
    <w:rsid w:val="00B960B0"/>
    <w:rsid w:val="00BA5D26"/>
    <w:rsid w:val="00BB2E6A"/>
    <w:rsid w:val="00BB3341"/>
    <w:rsid w:val="00BB3D15"/>
    <w:rsid w:val="00BB5FC4"/>
    <w:rsid w:val="00BC03F2"/>
    <w:rsid w:val="00BD6885"/>
    <w:rsid w:val="00BE6A4F"/>
    <w:rsid w:val="00BF0410"/>
    <w:rsid w:val="00BF7573"/>
    <w:rsid w:val="00BF7B2C"/>
    <w:rsid w:val="00C01F03"/>
    <w:rsid w:val="00C13B25"/>
    <w:rsid w:val="00C36787"/>
    <w:rsid w:val="00C45667"/>
    <w:rsid w:val="00C47D38"/>
    <w:rsid w:val="00C54235"/>
    <w:rsid w:val="00C549D1"/>
    <w:rsid w:val="00C55009"/>
    <w:rsid w:val="00C6440D"/>
    <w:rsid w:val="00C66AE3"/>
    <w:rsid w:val="00C673F6"/>
    <w:rsid w:val="00C67412"/>
    <w:rsid w:val="00C67F56"/>
    <w:rsid w:val="00C70ABD"/>
    <w:rsid w:val="00C764D1"/>
    <w:rsid w:val="00C77279"/>
    <w:rsid w:val="00C77A6F"/>
    <w:rsid w:val="00C8100D"/>
    <w:rsid w:val="00C8143C"/>
    <w:rsid w:val="00C85CEF"/>
    <w:rsid w:val="00C91495"/>
    <w:rsid w:val="00C91DAC"/>
    <w:rsid w:val="00C95581"/>
    <w:rsid w:val="00CA488C"/>
    <w:rsid w:val="00CA7A30"/>
    <w:rsid w:val="00CB04BD"/>
    <w:rsid w:val="00CB3057"/>
    <w:rsid w:val="00CC7206"/>
    <w:rsid w:val="00CD1473"/>
    <w:rsid w:val="00CD4F9A"/>
    <w:rsid w:val="00CE2A2E"/>
    <w:rsid w:val="00CE3CD8"/>
    <w:rsid w:val="00D12440"/>
    <w:rsid w:val="00D14337"/>
    <w:rsid w:val="00D17B59"/>
    <w:rsid w:val="00D32F6B"/>
    <w:rsid w:val="00D33538"/>
    <w:rsid w:val="00D40333"/>
    <w:rsid w:val="00D41CEB"/>
    <w:rsid w:val="00D464FA"/>
    <w:rsid w:val="00D524C0"/>
    <w:rsid w:val="00D6399F"/>
    <w:rsid w:val="00D64165"/>
    <w:rsid w:val="00D71B36"/>
    <w:rsid w:val="00D7480E"/>
    <w:rsid w:val="00D748DD"/>
    <w:rsid w:val="00D82753"/>
    <w:rsid w:val="00D93B44"/>
    <w:rsid w:val="00D9546C"/>
    <w:rsid w:val="00D9662A"/>
    <w:rsid w:val="00DA513C"/>
    <w:rsid w:val="00DA5C06"/>
    <w:rsid w:val="00DA7F38"/>
    <w:rsid w:val="00DB1A92"/>
    <w:rsid w:val="00DB3A28"/>
    <w:rsid w:val="00DB5B11"/>
    <w:rsid w:val="00DB7AFD"/>
    <w:rsid w:val="00DC0B7A"/>
    <w:rsid w:val="00DC6A32"/>
    <w:rsid w:val="00DD5890"/>
    <w:rsid w:val="00DE43A8"/>
    <w:rsid w:val="00E02257"/>
    <w:rsid w:val="00E10B1F"/>
    <w:rsid w:val="00E11F37"/>
    <w:rsid w:val="00E1265D"/>
    <w:rsid w:val="00E13047"/>
    <w:rsid w:val="00E1445F"/>
    <w:rsid w:val="00E25470"/>
    <w:rsid w:val="00E36D6B"/>
    <w:rsid w:val="00E37D3B"/>
    <w:rsid w:val="00E54343"/>
    <w:rsid w:val="00E66825"/>
    <w:rsid w:val="00E7585E"/>
    <w:rsid w:val="00E77B76"/>
    <w:rsid w:val="00E807BF"/>
    <w:rsid w:val="00E81484"/>
    <w:rsid w:val="00E825D9"/>
    <w:rsid w:val="00E8266F"/>
    <w:rsid w:val="00E84B04"/>
    <w:rsid w:val="00E84B3E"/>
    <w:rsid w:val="00E87356"/>
    <w:rsid w:val="00E92CFA"/>
    <w:rsid w:val="00EA162D"/>
    <w:rsid w:val="00EB17BB"/>
    <w:rsid w:val="00EB35AE"/>
    <w:rsid w:val="00EB4675"/>
    <w:rsid w:val="00EC1A84"/>
    <w:rsid w:val="00EC3DDD"/>
    <w:rsid w:val="00EC6E27"/>
    <w:rsid w:val="00EC76E0"/>
    <w:rsid w:val="00ED725E"/>
    <w:rsid w:val="00EE2992"/>
    <w:rsid w:val="00EE4739"/>
    <w:rsid w:val="00EE5506"/>
    <w:rsid w:val="00EF1AE1"/>
    <w:rsid w:val="00EF1BC2"/>
    <w:rsid w:val="00EF1D36"/>
    <w:rsid w:val="00F01400"/>
    <w:rsid w:val="00F02851"/>
    <w:rsid w:val="00F05DF1"/>
    <w:rsid w:val="00F117DA"/>
    <w:rsid w:val="00F1362F"/>
    <w:rsid w:val="00F20479"/>
    <w:rsid w:val="00F3029C"/>
    <w:rsid w:val="00F46678"/>
    <w:rsid w:val="00F53361"/>
    <w:rsid w:val="00F608BD"/>
    <w:rsid w:val="00F72838"/>
    <w:rsid w:val="00F77CF4"/>
    <w:rsid w:val="00F80717"/>
    <w:rsid w:val="00F8499C"/>
    <w:rsid w:val="00F86537"/>
    <w:rsid w:val="00F86926"/>
    <w:rsid w:val="00F87D63"/>
    <w:rsid w:val="00F90403"/>
    <w:rsid w:val="00F945BB"/>
    <w:rsid w:val="00FA493C"/>
    <w:rsid w:val="00FB58AB"/>
    <w:rsid w:val="00FB60AD"/>
    <w:rsid w:val="00FB6DAD"/>
    <w:rsid w:val="00FC5850"/>
    <w:rsid w:val="00FD09E0"/>
    <w:rsid w:val="00FD1119"/>
    <w:rsid w:val="00FD6529"/>
    <w:rsid w:val="00FF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E05CC"/>
  <w15:docId w15:val="{1FC3EEE7-389C-4A6B-95F5-998B5505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B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F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262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6266"/>
    <w:rPr>
      <w:color w:val="800080"/>
      <w:u w:val="single"/>
    </w:rPr>
  </w:style>
  <w:style w:type="paragraph" w:customStyle="1" w:styleId="font5">
    <w:name w:val="font5"/>
    <w:basedOn w:val="Normal"/>
    <w:rsid w:val="0032626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40"/>
      <w:szCs w:val="40"/>
    </w:rPr>
  </w:style>
  <w:style w:type="paragraph" w:customStyle="1" w:styleId="font6">
    <w:name w:val="font6"/>
    <w:basedOn w:val="Normal"/>
    <w:rsid w:val="0032626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50"/>
      <w:szCs w:val="50"/>
    </w:rPr>
  </w:style>
  <w:style w:type="paragraph" w:customStyle="1" w:styleId="font7">
    <w:name w:val="font7"/>
    <w:basedOn w:val="Normal"/>
    <w:rsid w:val="0032626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50"/>
      <w:szCs w:val="50"/>
    </w:rPr>
  </w:style>
  <w:style w:type="paragraph" w:customStyle="1" w:styleId="xl72">
    <w:name w:val="xl72"/>
    <w:basedOn w:val="Normal"/>
    <w:rsid w:val="0032626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326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32626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customStyle="1" w:styleId="xl75">
    <w:name w:val="xl75"/>
    <w:basedOn w:val="Normal"/>
    <w:rsid w:val="0032626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3262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7">
    <w:name w:val="xl77"/>
    <w:basedOn w:val="Normal"/>
    <w:rsid w:val="0032626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8">
    <w:name w:val="xl78"/>
    <w:basedOn w:val="Normal"/>
    <w:rsid w:val="003262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9">
    <w:name w:val="xl79"/>
    <w:basedOn w:val="Normal"/>
    <w:rsid w:val="003262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3262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1">
    <w:name w:val="xl81"/>
    <w:basedOn w:val="Normal"/>
    <w:rsid w:val="003262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2">
    <w:name w:val="xl82"/>
    <w:basedOn w:val="Normal"/>
    <w:rsid w:val="0032626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3">
    <w:name w:val="xl83"/>
    <w:basedOn w:val="Normal"/>
    <w:rsid w:val="0032626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Normal"/>
    <w:rsid w:val="0032626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5">
    <w:name w:val="xl85"/>
    <w:basedOn w:val="Normal"/>
    <w:rsid w:val="0032626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Normal"/>
    <w:rsid w:val="0032626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7">
    <w:name w:val="xl87"/>
    <w:basedOn w:val="Normal"/>
    <w:rsid w:val="0032626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8">
    <w:name w:val="xl88"/>
    <w:basedOn w:val="Normal"/>
    <w:rsid w:val="0032626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9">
    <w:name w:val="xl89"/>
    <w:basedOn w:val="Normal"/>
    <w:rsid w:val="00326266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Normal"/>
    <w:rsid w:val="0032626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1">
    <w:name w:val="xl91"/>
    <w:basedOn w:val="Normal"/>
    <w:rsid w:val="0032626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Normal"/>
    <w:rsid w:val="0032626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Normal"/>
    <w:rsid w:val="0032626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94">
    <w:name w:val="xl94"/>
    <w:basedOn w:val="Normal"/>
    <w:rsid w:val="0032626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Normal"/>
    <w:rsid w:val="0032626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6">
    <w:name w:val="xl96"/>
    <w:basedOn w:val="Normal"/>
    <w:rsid w:val="00326266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Normal"/>
    <w:rsid w:val="0032626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8">
    <w:name w:val="xl98"/>
    <w:basedOn w:val="Normal"/>
    <w:rsid w:val="00326266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Normal"/>
    <w:rsid w:val="0032626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Normal"/>
    <w:rsid w:val="0032626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1">
    <w:name w:val="xl101"/>
    <w:basedOn w:val="Normal"/>
    <w:rsid w:val="003262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2">
    <w:name w:val="xl102"/>
    <w:basedOn w:val="Normal"/>
    <w:rsid w:val="0032626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3">
    <w:name w:val="xl103"/>
    <w:basedOn w:val="Normal"/>
    <w:rsid w:val="0032626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4">
    <w:name w:val="xl104"/>
    <w:basedOn w:val="Normal"/>
    <w:rsid w:val="003262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5">
    <w:name w:val="xl105"/>
    <w:basedOn w:val="Normal"/>
    <w:rsid w:val="0032626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Normal"/>
    <w:rsid w:val="0032626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customStyle="1" w:styleId="xl107">
    <w:name w:val="xl107"/>
    <w:basedOn w:val="Normal"/>
    <w:rsid w:val="0032626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8">
    <w:name w:val="xl108"/>
    <w:basedOn w:val="Normal"/>
    <w:rsid w:val="0032626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9">
    <w:name w:val="xl109"/>
    <w:basedOn w:val="Normal"/>
    <w:rsid w:val="0032626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styleId="NoSpacing">
    <w:name w:val="No Spacing"/>
    <w:link w:val="NoSpacingChar"/>
    <w:uiPriority w:val="1"/>
    <w:qFormat/>
    <w:rsid w:val="00D93B4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93B44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9D54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5B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B15"/>
  </w:style>
  <w:style w:type="paragraph" w:styleId="Footer">
    <w:name w:val="footer"/>
    <w:basedOn w:val="Normal"/>
    <w:link w:val="FooterChar"/>
    <w:uiPriority w:val="99"/>
    <w:unhideWhenUsed/>
    <w:rsid w:val="006C5B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9.emf"/><Relationship Id="rId3" Type="http://schemas.openxmlformats.org/officeDocument/2006/relationships/numbering" Target="numbering.xml"/><Relationship Id="rId21" Type="http://schemas.openxmlformats.org/officeDocument/2006/relationships/image" Target="media/image12.emf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8.e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4.emf"/><Relationship Id="rId10" Type="http://schemas.openxmlformats.org/officeDocument/2006/relationships/image" Target="media/image2.jpeg"/><Relationship Id="rId19" Type="http://schemas.openxmlformats.org/officeDocument/2006/relationships/image" Target="media/image10.emf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emf"/><Relationship Id="rId22" Type="http://schemas.openxmlformats.org/officeDocument/2006/relationships/image" Target="media/image1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>DREJTORIA PËR  BUXHET DHE FINANCA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531B28C-F0FB-41D3-AF85-0ACBABE6F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7282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RAPORTI  GJASHTË MUJOR FINANCIAR</vt:lpstr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RAPORTI  FINANCIAR</dc:title>
  <dc:subject>Për Kuvendin Komunal</dc:subject>
  <dc:creator>fikriverbani</dc:creator>
  <cp:lastModifiedBy>Bahri I. Selimi</cp:lastModifiedBy>
  <cp:revision>370</cp:revision>
  <cp:lastPrinted>2023-07-18T13:12:00Z</cp:lastPrinted>
  <dcterms:created xsi:type="dcterms:W3CDTF">2015-02-15T14:10:00Z</dcterms:created>
  <dcterms:modified xsi:type="dcterms:W3CDTF">2023-07-18T13:13:00Z</dcterms:modified>
</cp:coreProperties>
</file>