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316F2E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E383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RAPORT</w:t>
                    </w:r>
                    <w:r w:rsidR="00FE461C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 </w:t>
                    </w:r>
                    <w:r w:rsidR="0062282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FINANCIAR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iudhën:  </w:t>
                </w:r>
                <w:r w:rsidR="001A423E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Tetor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–</w:t>
                </w:r>
                <w:r w:rsidR="001A423E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Dhjetor</w:t>
                </w:r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347EFE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 Kuvendin Komunal</w:t>
                    </w:r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bookmarkStart w:id="0" w:name="_GoBack"/>
          <w:bookmarkEnd w:id="0"/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 i komunës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Besim Ilazi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1A423E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Kaçanik, Janar</w:t>
          </w:r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2024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lastRenderedPageBreak/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A0459C">
            <w:rPr>
              <w:b/>
              <w:sz w:val="28"/>
              <w:szCs w:val="28"/>
              <w:lang w:val="sq-AL"/>
            </w:rPr>
            <w:t xml:space="preserve">ër periudhën  </w:t>
          </w:r>
          <w:r w:rsidR="00695610">
            <w:rPr>
              <w:b/>
              <w:sz w:val="28"/>
              <w:szCs w:val="28"/>
              <w:lang w:val="sq-AL"/>
            </w:rPr>
            <w:t>Tetor – Dhjetor</w:t>
          </w:r>
          <w:r w:rsidR="00FF291D">
            <w:rPr>
              <w:b/>
              <w:sz w:val="28"/>
              <w:szCs w:val="28"/>
              <w:lang w:val="sq-AL"/>
            </w:rPr>
            <w:t xml:space="preserve"> </w:t>
          </w:r>
          <w:r w:rsidR="00DE4EA7">
            <w:rPr>
              <w:b/>
              <w:sz w:val="28"/>
              <w:szCs w:val="28"/>
              <w:lang w:val="sq-AL"/>
            </w:rPr>
            <w:t>2023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r w:rsidRPr="002C1795">
            <w:rPr>
              <w:rFonts w:cstheme="minorHAnsi"/>
            </w:rPr>
            <w:t>Raporti i Buxhetit Komunal për periud</w:t>
          </w:r>
          <w:r w:rsidR="00695610">
            <w:rPr>
              <w:rFonts w:cstheme="minorHAnsi"/>
            </w:rPr>
            <w:t>hën Tetor – Dhjetor</w:t>
          </w:r>
          <w:r w:rsidR="000E37AF">
            <w:rPr>
              <w:rFonts w:cstheme="minorHAnsi"/>
            </w:rPr>
            <w:t xml:space="preserve"> 2023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>ka për qëllim të informimit</w:t>
          </w:r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objektiv lidhur me ecurinë dhe me treguesit relevant rreth përmbushjes së planit të grumbullimit të mjeteve sipas burimeve, përmbushjes së obligimeve të planifikuara sipas plan programeve, dinamikën e mjeteve të shpenzuara dhe atë sipas natyrës së shpenzimeve dhe kategorive të përcaktuara buxhetore, rrjedhën e parasë si dhe treguesit tjerë që kanë ndikuar në rezultatet e përgjithshme për këtë periudhë. </w:t>
          </w:r>
          <w:r>
            <w:rPr>
              <w:rFonts w:cstheme="minorHAnsi"/>
            </w:rPr>
            <w:t xml:space="preserve">   </w:t>
          </w:r>
          <w:r w:rsidRPr="002C1795">
            <w:rPr>
              <w:rFonts w:cstheme="minorHAnsi"/>
            </w:rPr>
            <w:t>Ecuria e përgjithshme e këtyre 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 xml:space="preserve">ve do të prezantohet për  </w:t>
          </w:r>
          <w:r w:rsidR="000E37AF">
            <w:rPr>
              <w:rFonts w:cstheme="minorHAnsi"/>
            </w:rPr>
            <w:t>13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r w:rsidR="000E37AF">
            <w:rPr>
              <w:rFonts w:cstheme="minorHAnsi"/>
            </w:rPr>
            <w:t>trem</w:t>
          </w:r>
          <w:r w:rsidR="00EB35AE">
            <w:rPr>
              <w:rFonts w:cstheme="minorHAnsi"/>
            </w:rPr>
            <w:t>bë</w:t>
          </w:r>
          <w:r w:rsidR="00C67F56">
            <w:rPr>
              <w:rFonts w:cstheme="minorHAnsi"/>
            </w:rPr>
            <w:t>dhjetë)  programet buxhetore</w:t>
          </w:r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Kryetarit,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Administrata e Përgjithshme dhe Çështjet Gjinore,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Kuvendit Komunal,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Buxhet</w:t>
          </w:r>
          <w:r w:rsidR="00A41E4A">
            <w:rPr>
              <w:rFonts w:cstheme="minorHAnsi"/>
            </w:rPr>
            <w:t xml:space="preserve"> dhe Financa</w:t>
          </w:r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Zhvillim Ekonomik dhe Turizëm,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</w:t>
          </w:r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Publike, Mbrojtje Civile </w:t>
          </w:r>
          <w:r>
            <w:rPr>
              <w:rFonts w:cstheme="minorHAnsi"/>
            </w:rPr>
            <w:t>dhe Emergjencat,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Bujqësia, Pylltaria dhe Zhvillimi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Planifikimi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Urban dhe Mjedisi,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Shëndetësia dhe Mirëqenia Sociale,</w:t>
          </w:r>
        </w:p>
        <w:p w:rsidR="000066FE" w:rsidRPr="000066FE" w:rsidRDefault="000066FE" w:rsidP="000066FE">
          <w:pPr>
            <w:pStyle w:val="ListParagraph"/>
            <w:rPr>
              <w:rFonts w:cstheme="minorHAnsi"/>
            </w:rPr>
          </w:pPr>
        </w:p>
        <w:p w:rsidR="000066FE" w:rsidRDefault="000066FE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 Sociale,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551C2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 dhe Shkencë,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Kulturë,Rini dhe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Lokale për Komunitete. </w:t>
          </w:r>
        </w:p>
        <w:p w:rsidR="000D3CEB" w:rsidRDefault="00316F2E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A878A2" w:rsidRPr="00010189" w:rsidRDefault="0054306C" w:rsidP="00010189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RAPORTI I PËRGJITHSHËM I PLANIFIKIMIT DHE REALIZIMIT TE BUXHETIT PER VITIN 2023</w:t>
      </w:r>
      <w:r w:rsidR="00867FC0">
        <w:rPr>
          <w:b/>
          <w:bCs/>
          <w:lang w:val="sv-SE"/>
        </w:rPr>
        <w:t xml:space="preserve">                      </w:t>
      </w:r>
      <w:r w:rsidR="00C45667">
        <w:rPr>
          <w:b/>
          <w:bCs/>
          <w:lang w:val="sv-SE"/>
        </w:rPr>
        <w:t xml:space="preserve">                          </w:t>
      </w:r>
    </w:p>
    <w:tbl>
      <w:tblPr>
        <w:tblW w:w="10909" w:type="dxa"/>
        <w:tblInd w:w="113" w:type="dxa"/>
        <w:tblLook w:val="04A0" w:firstRow="1" w:lastRow="0" w:firstColumn="1" w:lastColumn="0" w:noHBand="0" w:noVBand="1"/>
      </w:tblPr>
      <w:tblGrid>
        <w:gridCol w:w="3430"/>
        <w:gridCol w:w="2653"/>
        <w:gridCol w:w="2673"/>
        <w:gridCol w:w="2153"/>
      </w:tblGrid>
      <w:tr w:rsidR="00010189" w:rsidRPr="0054306C" w:rsidTr="00E83DF1">
        <w:trPr>
          <w:trHeight w:val="325"/>
        </w:trPr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PËRSHKRIMI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PLANIFIKIMI I BUXHETIT SIPAS KATEGORIVE EKONOMIKE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SHPENZIMET TOTALE 2023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MOSREALIZIMI </w:t>
            </w:r>
          </w:p>
        </w:tc>
      </w:tr>
      <w:tr w:rsidR="0054306C" w:rsidRPr="0054306C" w:rsidTr="00E83DF1">
        <w:trPr>
          <w:trHeight w:val="325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189" w:rsidRPr="0054306C" w:rsidTr="00E83DF1">
        <w:trPr>
          <w:trHeight w:val="47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TOTALI I PLANIFIKIMEVE DHE SHPENZIMEVE 2023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12,025,779.44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11,154,903.67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870,875.77</w:t>
            </w:r>
          </w:p>
        </w:tc>
      </w:tr>
      <w:tr w:rsidR="00010189" w:rsidRPr="0054306C" w:rsidTr="00E83DF1">
        <w:trPr>
          <w:trHeight w:val="60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MJETET E PLANIFIKUARA DHE SHPENZUARA NGA GRANTET QEVERITARE - FONDI 10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10,348,478.77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10,345,461.32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3,017.45</w:t>
            </w:r>
          </w:p>
        </w:tc>
      </w:tr>
      <w:tr w:rsidR="00010189" w:rsidRPr="0054306C" w:rsidTr="00E83DF1">
        <w:trPr>
          <w:trHeight w:val="39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11 PAGA DHE SHTESA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6,157,974.77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6,157,974.77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010189" w:rsidRPr="0054306C" w:rsidTr="00E83DF1">
        <w:trPr>
          <w:trHeight w:val="3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13 MALLRA DHE SHËRBIME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1,454,272.00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1,452,775.35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1,496.65</w:t>
            </w:r>
          </w:p>
        </w:tc>
      </w:tr>
      <w:tr w:rsidR="00010189" w:rsidRPr="0054306C" w:rsidTr="00E83DF1">
        <w:trPr>
          <w:trHeight w:val="3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14 SHPENZIME KOMUNALE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119,989.75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10.25</w:t>
            </w:r>
          </w:p>
        </w:tc>
      </w:tr>
      <w:tr w:rsidR="00010189" w:rsidRPr="0054306C" w:rsidTr="00E83DF1">
        <w:trPr>
          <w:trHeight w:val="46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20 SUBVENCIONE DHE TRANSFERE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300,235.00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299,235.00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1,000.00</w:t>
            </w:r>
          </w:p>
        </w:tc>
      </w:tr>
      <w:tr w:rsidR="00010189" w:rsidRPr="0054306C" w:rsidTr="00E83DF1">
        <w:trPr>
          <w:trHeight w:val="41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30 INVESTIMET KAPITALE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2,315,997.00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2,315,486.45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510.55</w:t>
            </w:r>
          </w:p>
        </w:tc>
      </w:tr>
      <w:tr w:rsidR="00010189" w:rsidRPr="0054306C" w:rsidTr="00E83DF1">
        <w:trPr>
          <w:trHeight w:val="42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TE HYRAT VETANAKE  - FONDI 21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862,578.00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368,927.86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493,650.14</w:t>
            </w:r>
          </w:p>
        </w:tc>
      </w:tr>
      <w:tr w:rsidR="00010189" w:rsidRPr="0054306C" w:rsidTr="00E83DF1">
        <w:trPr>
          <w:trHeight w:val="46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13 MALLRA DHE SHËRBIME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96,500.00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88,034.76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8,465.24</w:t>
            </w:r>
          </w:p>
        </w:tc>
      </w:tr>
      <w:tr w:rsidR="00010189" w:rsidRPr="0054306C" w:rsidTr="00E83DF1">
        <w:trPr>
          <w:trHeight w:val="42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14 SHPENZIME KOMUNALE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63,500.00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12,786.35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50,713.65</w:t>
            </w:r>
          </w:p>
        </w:tc>
      </w:tr>
      <w:tr w:rsidR="00010189" w:rsidRPr="0054306C" w:rsidTr="00E83DF1">
        <w:trPr>
          <w:trHeight w:val="42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20 SUBVENCIONE DHE TRANSFERE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81,265.00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42,358.60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38,906.40</w:t>
            </w:r>
          </w:p>
        </w:tc>
      </w:tr>
      <w:tr w:rsidR="00010189" w:rsidRPr="0054306C" w:rsidTr="00E83DF1">
        <w:trPr>
          <w:trHeight w:val="42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30 INVESTIMET KAPITALE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621,313.00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225,748.15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395,564.85</w:t>
            </w:r>
          </w:p>
        </w:tc>
      </w:tr>
      <w:tr w:rsidR="00010189" w:rsidRPr="0054306C" w:rsidTr="00E83DF1">
        <w:trPr>
          <w:trHeight w:val="51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TË HYRAT VETANAKE NGA VITI I KALUAR - FONDI 22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814,722.67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440,514.49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374,208.18</w:t>
            </w:r>
          </w:p>
        </w:tc>
      </w:tr>
      <w:tr w:rsidR="00010189" w:rsidRPr="0054306C" w:rsidTr="00E83DF1">
        <w:trPr>
          <w:trHeight w:val="451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13 MALLRA DHE SHËRBIME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827.78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827.78</w:t>
            </w:r>
          </w:p>
        </w:tc>
      </w:tr>
      <w:tr w:rsidR="00010189" w:rsidRPr="0054306C" w:rsidTr="00E83DF1">
        <w:trPr>
          <w:trHeight w:val="47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14 SHPENZIME KOMUNALE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16,500.00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14,968.01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1,531.99</w:t>
            </w:r>
          </w:p>
        </w:tc>
      </w:tr>
      <w:tr w:rsidR="00010189" w:rsidRPr="0054306C" w:rsidTr="00E83DF1">
        <w:trPr>
          <w:trHeight w:val="43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20 SUBVENCIONE DHE TRANSFERE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24,806.49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13,910.34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10,896.15</w:t>
            </w:r>
          </w:p>
        </w:tc>
      </w:tr>
      <w:tr w:rsidR="00010189" w:rsidRPr="0054306C" w:rsidTr="00E83DF1">
        <w:trPr>
          <w:trHeight w:val="47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 xml:space="preserve">        30 INVESTIMET KAPITALE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772,588.40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411,636.14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06C" w:rsidRPr="0054306C" w:rsidRDefault="0054306C" w:rsidP="0054306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54306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360,952.26</w:t>
            </w:r>
          </w:p>
        </w:tc>
      </w:tr>
    </w:tbl>
    <w:p w:rsidR="0009354E" w:rsidRDefault="0009354E" w:rsidP="004F1C5A">
      <w:pPr>
        <w:jc w:val="both"/>
        <w:rPr>
          <w:rFonts w:cstheme="minorHAnsi"/>
          <w:lang w:val="sq-AL"/>
        </w:rPr>
      </w:pPr>
    </w:p>
    <w:p w:rsidR="00010189" w:rsidRPr="004F1C5A" w:rsidRDefault="00010189" w:rsidP="00010189">
      <w:pPr>
        <w:jc w:val="center"/>
        <w:rPr>
          <w:rFonts w:cstheme="minorHAnsi"/>
          <w:lang w:val="sq-AL"/>
        </w:rPr>
      </w:pPr>
      <w:r w:rsidRPr="00010189">
        <w:drawing>
          <wp:inline distT="0" distB="0" distL="0" distR="0">
            <wp:extent cx="5310036" cy="1526651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6" cy="153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5A" w:rsidRDefault="00FD6529" w:rsidP="00F20479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 w:rsidRPr="0037371E">
        <w:rPr>
          <w:color w:val="000000" w:themeColor="text1"/>
          <w:lang w:val="sq-AL"/>
        </w:rPr>
        <w:t xml:space="preserve">Buxheti </w:t>
      </w:r>
      <w:r w:rsidR="004F1C5A" w:rsidRPr="0037371E">
        <w:rPr>
          <w:color w:val="000000" w:themeColor="text1"/>
          <w:lang w:val="sq-AL"/>
        </w:rPr>
        <w:t>i miratuar për Komu</w:t>
      </w:r>
      <w:r w:rsidR="00B7232F">
        <w:rPr>
          <w:color w:val="000000" w:themeColor="text1"/>
          <w:lang w:val="sq-AL"/>
        </w:rPr>
        <w:t xml:space="preserve">nën e </w:t>
      </w:r>
      <w:r w:rsidR="00C557E9">
        <w:rPr>
          <w:color w:val="000000" w:themeColor="text1"/>
          <w:lang w:val="sq-AL"/>
        </w:rPr>
        <w:t>Kaçanikut  per vitin 2023</w:t>
      </w:r>
      <w:r w:rsidR="008129B8">
        <w:rPr>
          <w:color w:val="000000" w:themeColor="text1"/>
          <w:lang w:val="sq-AL"/>
        </w:rPr>
        <w:t xml:space="preserve"> </w:t>
      </w:r>
      <w:r w:rsidR="00977264">
        <w:rPr>
          <w:color w:val="000000" w:themeColor="text1"/>
          <w:lang w:val="sq-AL"/>
        </w:rPr>
        <w:t xml:space="preserve"> ka qenë </w:t>
      </w:r>
      <w:r w:rsidR="004F1C5A" w:rsidRPr="0037371E">
        <w:rPr>
          <w:color w:val="000000" w:themeColor="text1"/>
          <w:lang w:val="sq-AL"/>
        </w:rPr>
        <w:t xml:space="preserve">në shumë prej: </w:t>
      </w:r>
      <w:r w:rsidR="00C557E9">
        <w:rPr>
          <w:b/>
          <w:color w:val="000000" w:themeColor="text1"/>
          <w:lang w:val="sq-AL"/>
        </w:rPr>
        <w:t>10,674,689</w:t>
      </w:r>
      <w:r w:rsidR="0037371E" w:rsidRPr="0037371E">
        <w:rPr>
          <w:b/>
          <w:color w:val="000000" w:themeColor="text1"/>
          <w:lang w:val="sq-AL"/>
        </w:rPr>
        <w:t xml:space="preserve">.00 </w:t>
      </w:r>
      <w:r w:rsidRPr="0037371E">
        <w:rPr>
          <w:rFonts w:cstheme="minorHAnsi"/>
          <w:b/>
          <w:color w:val="000000" w:themeColor="text1"/>
          <w:lang w:val="sq-AL"/>
        </w:rPr>
        <w:t>€</w:t>
      </w:r>
      <w:r w:rsidR="004F1C5A" w:rsidRPr="0037371E">
        <w:rPr>
          <w:rFonts w:cstheme="minorHAnsi"/>
          <w:b/>
          <w:color w:val="000000" w:themeColor="text1"/>
          <w:lang w:val="sq-AL"/>
        </w:rPr>
        <w:t xml:space="preserve"> </w:t>
      </w:r>
      <w:r w:rsidRPr="0037371E">
        <w:rPr>
          <w:color w:val="000000" w:themeColor="text1"/>
          <w:lang w:val="sq-AL"/>
        </w:rPr>
        <w:t xml:space="preserve"> </w:t>
      </w:r>
    </w:p>
    <w:p w:rsidR="00FF010B" w:rsidRPr="00314A7D" w:rsidRDefault="00841B83" w:rsidP="00314A7D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>Buxheti i tanishem pas bar</w:t>
      </w:r>
      <w:r w:rsidR="00FA6FE2">
        <w:rPr>
          <w:color w:val="000000" w:themeColor="text1"/>
          <w:lang w:val="sq-AL"/>
        </w:rPr>
        <w:t>t</w:t>
      </w:r>
      <w:r>
        <w:rPr>
          <w:color w:val="000000" w:themeColor="text1"/>
          <w:lang w:val="sq-AL"/>
        </w:rPr>
        <w:t xml:space="preserve">jes se </w:t>
      </w:r>
      <w:r w:rsidR="00C557E9">
        <w:rPr>
          <w:color w:val="000000" w:themeColor="text1"/>
          <w:lang w:val="sq-AL"/>
        </w:rPr>
        <w:t>një pjese të të</w:t>
      </w:r>
      <w:r>
        <w:rPr>
          <w:color w:val="000000" w:themeColor="text1"/>
          <w:lang w:val="sq-AL"/>
        </w:rPr>
        <w:t xml:space="preserve"> hyrave dhe donacioneve t</w:t>
      </w:r>
      <w:r w:rsidR="00977264">
        <w:rPr>
          <w:color w:val="000000" w:themeColor="text1"/>
          <w:lang w:val="sq-AL"/>
        </w:rPr>
        <w:t xml:space="preserve">e pashpenzuara </w:t>
      </w:r>
      <w:r w:rsidR="00AF6D11">
        <w:rPr>
          <w:color w:val="000000" w:themeColor="text1"/>
          <w:lang w:val="sq-AL"/>
        </w:rPr>
        <w:t>nga viti 2022</w:t>
      </w:r>
      <w:r w:rsidR="00977264">
        <w:rPr>
          <w:color w:val="000000" w:themeColor="text1"/>
          <w:lang w:val="sq-AL"/>
        </w:rPr>
        <w:t xml:space="preserve"> dhe ndryshimeve tjera gjatë periudhës siq është rritja e kostos së pagave, </w:t>
      </w:r>
      <w:r>
        <w:rPr>
          <w:color w:val="000000" w:themeColor="text1"/>
          <w:lang w:val="sq-AL"/>
        </w:rPr>
        <w:t xml:space="preserve">ka arritur shumën prej </w:t>
      </w:r>
      <w:r w:rsidR="00977264">
        <w:rPr>
          <w:b/>
          <w:color w:val="000000" w:themeColor="text1"/>
          <w:lang w:val="sq-AL"/>
        </w:rPr>
        <w:t>12,025,779.44</w:t>
      </w:r>
      <w:r w:rsidRPr="001E2721">
        <w:rPr>
          <w:b/>
          <w:color w:val="000000" w:themeColor="text1"/>
          <w:lang w:val="sq-AL"/>
        </w:rPr>
        <w:t xml:space="preserve"> €.</w:t>
      </w:r>
    </w:p>
    <w:p w:rsidR="00FF010B" w:rsidRDefault="00FF010B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 xml:space="preserve">Shuma e përgjithshme e mjeteve te shpenzuara për </w:t>
      </w:r>
      <w:r w:rsidR="00E83DF1">
        <w:rPr>
          <w:lang w:val="sq-AL"/>
        </w:rPr>
        <w:t xml:space="preserve">gjatë vitit 2023 </w:t>
      </w:r>
      <w:r w:rsidR="008C4D3B">
        <w:rPr>
          <w:lang w:val="sq-AL"/>
        </w:rPr>
        <w:t xml:space="preserve">është 11,154,903.67 euro. </w:t>
      </w:r>
    </w:p>
    <w:p w:rsidR="00E83DF1" w:rsidRDefault="00E83DF1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Ndërsa shpenzimi i buxhetit vetëm per periudhën Tetor-Dhjetor eshte ne shumë prej 4,103,374.65 euro.</w:t>
      </w:r>
    </w:p>
    <w:p w:rsidR="00565BA6" w:rsidRDefault="00565BA6" w:rsidP="00565BA6">
      <w:pPr>
        <w:pStyle w:val="ListParagraph"/>
        <w:jc w:val="both"/>
        <w:rPr>
          <w:lang w:val="sq-AL"/>
        </w:rPr>
      </w:pPr>
    </w:p>
    <w:p w:rsidR="003D1C13" w:rsidRPr="000A2983" w:rsidRDefault="00786DF5" w:rsidP="000A2983">
      <w:pPr>
        <w:jc w:val="both"/>
        <w:rPr>
          <w:lang w:val="sq-AL"/>
        </w:rPr>
      </w:pPr>
      <w:r w:rsidRPr="00314A7D">
        <w:rPr>
          <w:lang w:val="sq-AL"/>
        </w:rPr>
        <w:lastRenderedPageBreak/>
        <w:t xml:space="preserve"> </w:t>
      </w:r>
      <w:r w:rsidR="00EE2992">
        <w:rPr>
          <w:b/>
          <w:sz w:val="28"/>
          <w:szCs w:val="28"/>
        </w:rPr>
        <w:t>Raporti i</w:t>
      </w:r>
      <w:r w:rsidR="006C5B15" w:rsidRPr="00010B41">
        <w:rPr>
          <w:b/>
          <w:sz w:val="28"/>
          <w:szCs w:val="28"/>
        </w:rPr>
        <w:t xml:space="preserve"> inkasimit</w:t>
      </w:r>
      <w:r w:rsidR="00E11F37" w:rsidRPr="00010B41">
        <w:rPr>
          <w:b/>
          <w:sz w:val="28"/>
          <w:szCs w:val="28"/>
        </w:rPr>
        <w:t xml:space="preserve"> </w:t>
      </w:r>
      <w:r w:rsidR="006C5B15" w:rsidRPr="00010B41">
        <w:rPr>
          <w:b/>
          <w:sz w:val="28"/>
          <w:szCs w:val="28"/>
        </w:rPr>
        <w:t xml:space="preserve"> të</w:t>
      </w:r>
      <w:r w:rsidR="00E11F37" w:rsidRPr="00010B41">
        <w:rPr>
          <w:b/>
          <w:sz w:val="28"/>
          <w:szCs w:val="28"/>
        </w:rPr>
        <w:t xml:space="preserve"> </w:t>
      </w:r>
      <w:r w:rsidR="006C5B15" w:rsidRPr="00010B41">
        <w:rPr>
          <w:b/>
          <w:sz w:val="28"/>
          <w:szCs w:val="28"/>
        </w:rPr>
        <w:t xml:space="preserve"> të hyrave</w:t>
      </w:r>
      <w:r w:rsidR="00E11F37" w:rsidRPr="00010B41">
        <w:rPr>
          <w:b/>
          <w:sz w:val="28"/>
          <w:szCs w:val="28"/>
        </w:rPr>
        <w:t xml:space="preserve"> </w:t>
      </w:r>
      <w:r w:rsidR="006C5B15" w:rsidRPr="00010B41">
        <w:rPr>
          <w:b/>
          <w:sz w:val="28"/>
          <w:szCs w:val="28"/>
        </w:rPr>
        <w:t xml:space="preserve"> vetanake</w:t>
      </w:r>
      <w:r w:rsidR="003167B6">
        <w:rPr>
          <w:b/>
          <w:sz w:val="28"/>
          <w:szCs w:val="28"/>
        </w:rPr>
        <w:t xml:space="preserve"> direkte dhe Indirekte</w:t>
      </w:r>
      <w:r w:rsidR="003D1C13" w:rsidRPr="00010B41">
        <w:rPr>
          <w:b/>
          <w:sz w:val="28"/>
          <w:szCs w:val="28"/>
        </w:rPr>
        <w:t>:</w:t>
      </w:r>
    </w:p>
    <w:p w:rsidR="00552560" w:rsidRDefault="00E10B1F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Të hyrat </w:t>
      </w:r>
      <w:r w:rsidR="003D1C13" w:rsidRPr="003D1C13">
        <w:rPr>
          <w:rFonts w:cstheme="minorHAnsi"/>
        </w:rPr>
        <w:t>vetana</w:t>
      </w:r>
      <w:r>
        <w:rPr>
          <w:rFonts w:cstheme="minorHAnsi"/>
        </w:rPr>
        <w:t xml:space="preserve">ke </w:t>
      </w:r>
      <w:r w:rsidR="006B28B1">
        <w:rPr>
          <w:rFonts w:cstheme="minorHAnsi"/>
        </w:rPr>
        <w:t xml:space="preserve">direkte </w:t>
      </w:r>
      <w:r>
        <w:rPr>
          <w:rFonts w:cstheme="minorHAnsi"/>
        </w:rPr>
        <w:t xml:space="preserve">të grumbulluara gjatë  periudhës  raportuese </w:t>
      </w:r>
      <w:r w:rsidR="003D1C13">
        <w:rPr>
          <w:rFonts w:cstheme="minorHAnsi"/>
        </w:rPr>
        <w:t xml:space="preserve"> kanë ar</w:t>
      </w:r>
      <w:r w:rsidR="00381E8D">
        <w:rPr>
          <w:rFonts w:cstheme="minorHAnsi"/>
        </w:rPr>
        <w:t>ritur lartësinë e realizimit</w:t>
      </w:r>
      <w:r>
        <w:rPr>
          <w:rFonts w:cstheme="minorHAnsi"/>
        </w:rPr>
        <w:t xml:space="preserve"> prej</w:t>
      </w:r>
      <w:r w:rsidR="000D35DE">
        <w:rPr>
          <w:rFonts w:cstheme="minorHAnsi"/>
        </w:rPr>
        <w:t xml:space="preserve"> 150,360.58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që përbë</w:t>
      </w:r>
      <w:r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>
        <w:rPr>
          <w:rFonts w:cstheme="minorHAnsi"/>
        </w:rPr>
        <w:t>ë</w:t>
      </w:r>
      <w:r w:rsidR="003D1C13" w:rsidRPr="003D1C13">
        <w:rPr>
          <w:rFonts w:cstheme="minorHAnsi"/>
        </w:rPr>
        <w:t xml:space="preserve"> </w:t>
      </w:r>
      <w:r w:rsidR="000D35DE">
        <w:rPr>
          <w:rFonts w:cstheme="minorHAnsi"/>
          <w:b/>
        </w:rPr>
        <w:t>17.43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r>
        <w:rPr>
          <w:rFonts w:cstheme="minorHAnsi"/>
        </w:rPr>
        <w:t>të planifikimit</w:t>
      </w:r>
      <w:r w:rsidR="00491108">
        <w:rPr>
          <w:rFonts w:cstheme="minorHAnsi"/>
        </w:rPr>
        <w:t xml:space="preserve"> </w:t>
      </w:r>
      <w:r w:rsidR="004C6806">
        <w:rPr>
          <w:rFonts w:cstheme="minorHAnsi"/>
        </w:rPr>
        <w:t xml:space="preserve">të gjithëmbarshëm vjetorë në shumë prej </w:t>
      </w:r>
      <w:r w:rsidR="007A65B9">
        <w:rPr>
          <w:rFonts w:cstheme="minorHAnsi"/>
          <w:b/>
        </w:rPr>
        <w:t>862,578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</w:p>
    <w:p w:rsidR="005C128E" w:rsidRDefault="005C128E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E2721" w:rsidRDefault="000D35DE" w:rsidP="000D35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0D35DE">
        <w:drawing>
          <wp:inline distT="0" distB="0" distL="0" distR="0">
            <wp:extent cx="5882640" cy="7458323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75" cy="749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78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FE2393" w:rsidRDefault="00FE2393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37F44" w:rsidRDefault="00FE2393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>PRANIMI I TE HYRAVE INDIREKTE NGA GJYKATAT, POLICIA DHE AGJENSIONI I PYLLTARISË SË KOSOVES:</w:t>
      </w:r>
    </w:p>
    <w:p w:rsidR="00137F44" w:rsidRDefault="00137F4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37F44" w:rsidRDefault="00137F4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37F44">
        <w:drawing>
          <wp:inline distT="0" distB="0" distL="0" distR="0">
            <wp:extent cx="6858000" cy="13013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0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64B14" w:rsidRDefault="00D64B1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E739B" w:rsidRDefault="00AE739B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593DDD" w:rsidRDefault="003C1F2D" w:rsidP="00435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Shpenzimet e realizuara pë</w:t>
      </w:r>
      <w:r w:rsidR="003652B7">
        <w:rPr>
          <w:rFonts w:cstheme="minorHAnsi"/>
          <w:b/>
          <w:color w:val="000000"/>
          <w:sz w:val="28"/>
          <w:szCs w:val="28"/>
        </w:rPr>
        <w:t>r periudhën   Tetor – Dhjetor</w:t>
      </w:r>
      <w:r w:rsidR="00147382">
        <w:rPr>
          <w:rFonts w:cstheme="minorHAnsi"/>
          <w:b/>
          <w:color w:val="000000"/>
          <w:sz w:val="28"/>
          <w:szCs w:val="28"/>
        </w:rPr>
        <w:t xml:space="preserve"> 2023</w:t>
      </w:r>
      <w:r w:rsidRPr="00593DDD">
        <w:rPr>
          <w:rFonts w:cstheme="minorHAnsi"/>
          <w:b/>
          <w:color w:val="000000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B3057" w:rsidRPr="004350A3" w:rsidRDefault="00EA162D" w:rsidP="006F1F9A">
      <w:pPr>
        <w:tabs>
          <w:tab w:val="num" w:pos="450"/>
        </w:tabs>
        <w:spacing w:after="0" w:line="240" w:lineRule="auto"/>
        <w:rPr>
          <w:bCs/>
          <w:lang w:val="sq-AL"/>
        </w:rPr>
      </w:pPr>
      <w:r w:rsidRPr="004350A3">
        <w:rPr>
          <w:bCs/>
          <w:lang w:val="sq-AL"/>
        </w:rPr>
        <w:t xml:space="preserve">Tabela në  vijim </w:t>
      </w:r>
      <w:r w:rsidR="00CB3057" w:rsidRPr="004350A3">
        <w:rPr>
          <w:bCs/>
          <w:lang w:val="sq-AL"/>
        </w:rPr>
        <w:t>paraqet  realizimin e shpenzimeve  sipas  Programeve Buxhetore  dhe</w:t>
      </w:r>
      <w:r w:rsidR="00D64B14" w:rsidRPr="004350A3">
        <w:rPr>
          <w:bCs/>
          <w:lang w:val="sq-AL"/>
        </w:rPr>
        <w:t xml:space="preserve"> atë sipas Kategorive </w:t>
      </w:r>
      <w:r w:rsidRPr="004350A3">
        <w:rPr>
          <w:bCs/>
          <w:lang w:val="sq-AL"/>
        </w:rPr>
        <w:t xml:space="preserve"> Ekonomike</w:t>
      </w:r>
      <w:r w:rsidR="00D64B14" w:rsidRPr="004350A3">
        <w:rPr>
          <w:bCs/>
          <w:lang w:val="sq-AL"/>
        </w:rPr>
        <w:t xml:space="preserve"> të Shpenzimeve</w:t>
      </w:r>
      <w:r w:rsidRPr="004350A3">
        <w:rPr>
          <w:bCs/>
          <w:lang w:val="sq-AL"/>
        </w:rPr>
        <w:t>:</w:t>
      </w:r>
    </w:p>
    <w:p w:rsidR="00C91DAC" w:rsidRPr="004350A3" w:rsidRDefault="004350A3" w:rsidP="004350A3">
      <w:pPr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 w:rsidRPr="004350A3">
        <w:drawing>
          <wp:inline distT="0" distB="0" distL="0" distR="0">
            <wp:extent cx="6400098" cy="7609398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34" cy="761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40" w:rsidRPr="00D12440" w:rsidRDefault="00D12440" w:rsidP="00D12440">
      <w:pPr>
        <w:pStyle w:val="ListParagraph"/>
        <w:spacing w:after="0" w:line="240" w:lineRule="auto"/>
        <w:ind w:left="1080"/>
        <w:jc w:val="both"/>
        <w:rPr>
          <w:b/>
          <w:bCs/>
          <w:color w:val="000000" w:themeColor="text1"/>
          <w:lang w:val="sq-AL"/>
        </w:rPr>
      </w:pPr>
    </w:p>
    <w:p w:rsidR="000D1877" w:rsidRPr="00F02851" w:rsidRDefault="000D1877">
      <w:pPr>
        <w:rPr>
          <w:b/>
        </w:rPr>
      </w:pPr>
    </w:p>
    <w:p w:rsidR="00F02851" w:rsidRDefault="00C87AF7">
      <w:pPr>
        <w:sectPr w:rsidR="00F02851" w:rsidSect="00D93B44">
          <w:footerReference w:type="default" r:id="rId15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C87AF7">
        <w:lastRenderedPageBreak/>
        <w:drawing>
          <wp:inline distT="0" distB="0" distL="0" distR="0">
            <wp:extent cx="6273800" cy="84601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4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04" w:rsidRPr="00E07D0D" w:rsidRDefault="00700604" w:rsidP="00E07D0D">
      <w:pPr>
        <w:sectPr w:rsidR="00700604" w:rsidRPr="00E07D0D" w:rsidSect="00C87AF7">
          <w:type w:val="continuous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6B6B81" w:rsidRDefault="00C87AF7" w:rsidP="006B6B81">
      <w:pPr>
        <w:tabs>
          <w:tab w:val="left" w:pos="664"/>
        </w:tabs>
      </w:pPr>
      <w:r w:rsidRPr="00C87AF7">
        <w:lastRenderedPageBreak/>
        <w:drawing>
          <wp:inline distT="0" distB="0" distL="0" distR="0">
            <wp:extent cx="6273800" cy="84283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42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81" w:rsidRDefault="006B6B81" w:rsidP="006B6B81">
      <w:pPr>
        <w:tabs>
          <w:tab w:val="left" w:pos="664"/>
        </w:tabs>
      </w:pPr>
    </w:p>
    <w:p w:rsidR="001D52F7" w:rsidRDefault="001D52F7" w:rsidP="006B6B81">
      <w:pPr>
        <w:tabs>
          <w:tab w:val="left" w:pos="664"/>
        </w:tabs>
      </w:pPr>
    </w:p>
    <w:p w:rsidR="006C6E70" w:rsidRDefault="00C87AF7" w:rsidP="006B6B81">
      <w:pPr>
        <w:tabs>
          <w:tab w:val="left" w:pos="664"/>
        </w:tabs>
      </w:pPr>
      <w:r w:rsidRPr="00C87AF7">
        <w:lastRenderedPageBreak/>
        <w:drawing>
          <wp:inline distT="0" distB="0" distL="0" distR="0">
            <wp:extent cx="6273800" cy="9915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70" w:rsidRDefault="00C87AF7" w:rsidP="006B6B81">
      <w:pPr>
        <w:tabs>
          <w:tab w:val="left" w:pos="664"/>
        </w:tabs>
      </w:pPr>
      <w:r w:rsidRPr="00C87AF7">
        <w:lastRenderedPageBreak/>
        <w:drawing>
          <wp:inline distT="0" distB="0" distL="0" distR="0">
            <wp:extent cx="6273800" cy="81819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F7" w:rsidRDefault="00C87AF7" w:rsidP="006B6B81">
      <w:pPr>
        <w:tabs>
          <w:tab w:val="left" w:pos="664"/>
        </w:tabs>
      </w:pPr>
    </w:p>
    <w:p w:rsidR="00C87AF7" w:rsidRDefault="00C87AF7" w:rsidP="006B6B81">
      <w:pPr>
        <w:tabs>
          <w:tab w:val="left" w:pos="664"/>
        </w:tabs>
      </w:pPr>
      <w:r w:rsidRPr="00C87AF7">
        <w:lastRenderedPageBreak/>
        <w:drawing>
          <wp:inline distT="0" distB="0" distL="0" distR="0">
            <wp:extent cx="6273800" cy="89211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70" w:rsidRDefault="00E06EAC" w:rsidP="00E06EAC">
      <w:pPr>
        <w:tabs>
          <w:tab w:val="left" w:pos="664"/>
        </w:tabs>
        <w:jc w:val="center"/>
      </w:pPr>
      <w:r w:rsidRPr="00E06EAC">
        <w:lastRenderedPageBreak/>
        <w:drawing>
          <wp:inline distT="0" distB="0" distL="0" distR="0">
            <wp:extent cx="5852160" cy="882331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52" cy="88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F7" w:rsidRDefault="001D52F7" w:rsidP="006B6B81">
      <w:pPr>
        <w:tabs>
          <w:tab w:val="left" w:pos="664"/>
        </w:tabs>
      </w:pPr>
    </w:p>
    <w:p w:rsidR="002B691C" w:rsidRDefault="002B691C" w:rsidP="006B6B81">
      <w:pPr>
        <w:tabs>
          <w:tab w:val="left" w:pos="664"/>
        </w:tabs>
      </w:pPr>
    </w:p>
    <w:p w:rsidR="002B691C" w:rsidRDefault="002B691C" w:rsidP="006B6B81">
      <w:pPr>
        <w:tabs>
          <w:tab w:val="left" w:pos="664"/>
        </w:tabs>
      </w:pP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6628"/>
        <w:gridCol w:w="1652"/>
      </w:tblGrid>
      <w:tr w:rsidR="002B691C" w:rsidRPr="002B691C" w:rsidTr="002B691C">
        <w:trPr>
          <w:trHeight w:val="402"/>
          <w:jc w:val="center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SHPENZIMET PER SUBVENCIONE DHE TRANSFERE TETOR-DHJETOR 2023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TOTALI I SHPENZIMEVE PER TETOR - DHJETOR 2023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172,098.14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ZYRA E KRYETARIT - KAÇANIK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47,352.10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39,102.10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22200  -  PAGESA PËR PËRFITUESIT INDIVIDUAL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8,250.00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SHËRBIME PUBLIKE - INFRASTRUKTURA RRUGORE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25,425.00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25,425.00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BUJQËSIA - KAÇANIK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53,657.54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22200  -  PAGESA PËR PËRFITUESIT INDIVIDUAL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53,657.54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PLANIFIKIMI DHE ZHVILLIMI EKONOMIK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23,884.50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10,500.00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22200  -  PAGESA PËR PËRFITUESIT INDIVIDUAL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13,384.50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SHERBIMET SOCIALE-KACANIK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7,800.00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5,000.00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22200  -  PAGESA PËR PËRFITUESIT INDIVIDUAL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2,800.00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SHËRBIMET KULTURORE - KAÇANIK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450.00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ADMINISTRATA ARSIMIT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13,529.00</w:t>
            </w:r>
          </w:p>
        </w:tc>
      </w:tr>
      <w:tr w:rsidR="002B691C" w:rsidRPr="002B691C" w:rsidTr="002B691C">
        <w:trPr>
          <w:trHeight w:val="402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91C" w:rsidRPr="002B691C" w:rsidRDefault="002B691C" w:rsidP="002B69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6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13,529.00</w:t>
            </w:r>
          </w:p>
        </w:tc>
      </w:tr>
    </w:tbl>
    <w:p w:rsidR="002B691C" w:rsidRDefault="002B691C" w:rsidP="002B691C">
      <w:pPr>
        <w:tabs>
          <w:tab w:val="left" w:pos="664"/>
        </w:tabs>
        <w:jc w:val="center"/>
      </w:pPr>
    </w:p>
    <w:p w:rsidR="001D52F7" w:rsidRDefault="001D52F7" w:rsidP="006B6B81">
      <w:pPr>
        <w:tabs>
          <w:tab w:val="left" w:pos="664"/>
        </w:tabs>
      </w:pPr>
    </w:p>
    <w:p w:rsidR="00824CFE" w:rsidRPr="00824CFE" w:rsidRDefault="00824CFE" w:rsidP="00824CFE">
      <w:pPr>
        <w:tabs>
          <w:tab w:val="left" w:pos="664"/>
        </w:tabs>
      </w:pPr>
    </w:p>
    <w:p w:rsidR="00824CFE" w:rsidRPr="006B6B81" w:rsidRDefault="00824CFE" w:rsidP="006B6B81">
      <w:pPr>
        <w:tabs>
          <w:tab w:val="left" w:pos="664"/>
        </w:tabs>
        <w:sectPr w:rsidR="00824CFE" w:rsidRPr="006B6B81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CE2A2E" w:rsidRDefault="00CE2A2E"/>
    <w:p w:rsidR="003117BD" w:rsidRDefault="003117BD">
      <w:pPr>
        <w:rPr>
          <w:noProof/>
        </w:rPr>
      </w:pPr>
    </w:p>
    <w:p w:rsidR="006B6B81" w:rsidRDefault="006B6B81"/>
    <w:p w:rsidR="00EB4675" w:rsidRDefault="00EB4675"/>
    <w:p w:rsidR="002353CF" w:rsidRDefault="002353CF">
      <w:pPr>
        <w:rPr>
          <w:noProof/>
        </w:rPr>
      </w:pPr>
    </w:p>
    <w:p w:rsidR="006B6B81" w:rsidRDefault="006B6B81"/>
    <w:p w:rsidR="009021AB" w:rsidRDefault="009021AB"/>
    <w:p w:rsidR="009021AB" w:rsidRDefault="009021AB"/>
    <w:p w:rsidR="009021AB" w:rsidRDefault="009021AB">
      <w:pPr>
        <w:rPr>
          <w:noProof/>
        </w:rPr>
      </w:pPr>
    </w:p>
    <w:p w:rsidR="006B6B81" w:rsidRDefault="006B6B81"/>
    <w:p w:rsidR="0066194A" w:rsidRDefault="0066194A"/>
    <w:p w:rsidR="0050527D" w:rsidRDefault="0050527D"/>
    <w:p w:rsidR="0050527D" w:rsidRDefault="0050527D"/>
    <w:p w:rsidR="00D17B59" w:rsidRPr="0050527D" w:rsidRDefault="00D17B59">
      <w:pPr>
        <w:rPr>
          <w:b/>
        </w:rPr>
      </w:pPr>
    </w:p>
    <w:p w:rsidR="000C083E" w:rsidRDefault="000C083E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897A24" w:rsidRDefault="00897A24"/>
    <w:p w:rsidR="00897A24" w:rsidRDefault="00897A24" w:rsidP="00897A24">
      <w:pPr>
        <w:jc w:val="center"/>
      </w:pPr>
    </w:p>
    <w:p w:rsidR="00B73F7C" w:rsidRDefault="00B73F7C">
      <w:pPr>
        <w:sectPr w:rsidR="00B73F7C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2E" w:rsidRDefault="00316F2E" w:rsidP="006C5B15">
      <w:pPr>
        <w:spacing w:after="0" w:line="240" w:lineRule="auto"/>
      </w:pPr>
      <w:r>
        <w:separator/>
      </w:r>
    </w:p>
  </w:endnote>
  <w:endnote w:type="continuationSeparator" w:id="0">
    <w:p w:rsidR="00316F2E" w:rsidRDefault="00316F2E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EB" w:rsidRDefault="00D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2E" w:rsidRDefault="00316F2E" w:rsidP="006C5B15">
      <w:pPr>
        <w:spacing w:after="0" w:line="240" w:lineRule="auto"/>
      </w:pPr>
      <w:r>
        <w:separator/>
      </w:r>
    </w:p>
  </w:footnote>
  <w:footnote w:type="continuationSeparator" w:id="0">
    <w:p w:rsidR="00316F2E" w:rsidRDefault="00316F2E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2"/>
  </w:num>
  <w:num w:numId="5">
    <w:abstractNumId w:val="23"/>
  </w:num>
  <w:num w:numId="6">
    <w:abstractNumId w:val="44"/>
  </w:num>
  <w:num w:numId="7">
    <w:abstractNumId w:val="12"/>
  </w:num>
  <w:num w:numId="8">
    <w:abstractNumId w:val="9"/>
  </w:num>
  <w:num w:numId="9">
    <w:abstractNumId w:val="5"/>
  </w:num>
  <w:num w:numId="10">
    <w:abstractNumId w:val="43"/>
  </w:num>
  <w:num w:numId="11">
    <w:abstractNumId w:val="2"/>
  </w:num>
  <w:num w:numId="12">
    <w:abstractNumId w:val="28"/>
  </w:num>
  <w:num w:numId="13">
    <w:abstractNumId w:val="24"/>
  </w:num>
  <w:num w:numId="14">
    <w:abstractNumId w:val="39"/>
  </w:num>
  <w:num w:numId="15">
    <w:abstractNumId w:val="40"/>
  </w:num>
  <w:num w:numId="16">
    <w:abstractNumId w:val="3"/>
  </w:num>
  <w:num w:numId="17">
    <w:abstractNumId w:val="17"/>
  </w:num>
  <w:num w:numId="18">
    <w:abstractNumId w:val="31"/>
  </w:num>
  <w:num w:numId="19">
    <w:abstractNumId w:val="37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42"/>
  </w:num>
  <w:num w:numId="25">
    <w:abstractNumId w:val="34"/>
  </w:num>
  <w:num w:numId="26">
    <w:abstractNumId w:val="21"/>
  </w:num>
  <w:num w:numId="27">
    <w:abstractNumId w:val="29"/>
  </w:num>
  <w:num w:numId="28">
    <w:abstractNumId w:val="26"/>
  </w:num>
  <w:num w:numId="29">
    <w:abstractNumId w:val="8"/>
  </w:num>
  <w:num w:numId="30">
    <w:abstractNumId w:val="20"/>
  </w:num>
  <w:num w:numId="31">
    <w:abstractNumId w:val="4"/>
  </w:num>
  <w:num w:numId="32">
    <w:abstractNumId w:val="35"/>
  </w:num>
  <w:num w:numId="33">
    <w:abstractNumId w:val="36"/>
  </w:num>
  <w:num w:numId="34">
    <w:abstractNumId w:val="14"/>
  </w:num>
  <w:num w:numId="35">
    <w:abstractNumId w:val="16"/>
  </w:num>
  <w:num w:numId="36">
    <w:abstractNumId w:val="1"/>
  </w:num>
  <w:num w:numId="37">
    <w:abstractNumId w:val="38"/>
  </w:num>
  <w:num w:numId="38">
    <w:abstractNumId w:val="6"/>
  </w:num>
  <w:num w:numId="39">
    <w:abstractNumId w:val="11"/>
  </w:num>
  <w:num w:numId="40">
    <w:abstractNumId w:val="0"/>
  </w:num>
  <w:num w:numId="41">
    <w:abstractNumId w:val="10"/>
  </w:num>
  <w:num w:numId="42">
    <w:abstractNumId w:val="7"/>
  </w:num>
  <w:num w:numId="43">
    <w:abstractNumId w:val="41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66FE"/>
    <w:rsid w:val="00007A80"/>
    <w:rsid w:val="00010189"/>
    <w:rsid w:val="00010B41"/>
    <w:rsid w:val="000135C5"/>
    <w:rsid w:val="00015ABC"/>
    <w:rsid w:val="00021C50"/>
    <w:rsid w:val="0002569A"/>
    <w:rsid w:val="00027066"/>
    <w:rsid w:val="000333D3"/>
    <w:rsid w:val="0003612A"/>
    <w:rsid w:val="00045933"/>
    <w:rsid w:val="00045C67"/>
    <w:rsid w:val="00050385"/>
    <w:rsid w:val="00053D0E"/>
    <w:rsid w:val="0006033B"/>
    <w:rsid w:val="00072EC8"/>
    <w:rsid w:val="000733E8"/>
    <w:rsid w:val="0008044A"/>
    <w:rsid w:val="00086510"/>
    <w:rsid w:val="000922A2"/>
    <w:rsid w:val="00092D35"/>
    <w:rsid w:val="0009354E"/>
    <w:rsid w:val="00096B0D"/>
    <w:rsid w:val="000A2983"/>
    <w:rsid w:val="000A365A"/>
    <w:rsid w:val="000B1397"/>
    <w:rsid w:val="000C083E"/>
    <w:rsid w:val="000C21B9"/>
    <w:rsid w:val="000C4D24"/>
    <w:rsid w:val="000D1877"/>
    <w:rsid w:val="000D3528"/>
    <w:rsid w:val="000D35DE"/>
    <w:rsid w:val="000D3CEB"/>
    <w:rsid w:val="000D43BB"/>
    <w:rsid w:val="000E0E54"/>
    <w:rsid w:val="000E37AF"/>
    <w:rsid w:val="00117FC8"/>
    <w:rsid w:val="00125DBC"/>
    <w:rsid w:val="001373A1"/>
    <w:rsid w:val="001374AC"/>
    <w:rsid w:val="00137F44"/>
    <w:rsid w:val="00147382"/>
    <w:rsid w:val="00160677"/>
    <w:rsid w:val="001628ED"/>
    <w:rsid w:val="00172284"/>
    <w:rsid w:val="00175EB2"/>
    <w:rsid w:val="0019019C"/>
    <w:rsid w:val="001A2320"/>
    <w:rsid w:val="001A423E"/>
    <w:rsid w:val="001A607D"/>
    <w:rsid w:val="001B0894"/>
    <w:rsid w:val="001B2F6B"/>
    <w:rsid w:val="001B42B6"/>
    <w:rsid w:val="001B692F"/>
    <w:rsid w:val="001B77D7"/>
    <w:rsid w:val="001C052B"/>
    <w:rsid w:val="001C4FE6"/>
    <w:rsid w:val="001D0EB3"/>
    <w:rsid w:val="001D52F7"/>
    <w:rsid w:val="001D5E93"/>
    <w:rsid w:val="001D60DD"/>
    <w:rsid w:val="001D79B1"/>
    <w:rsid w:val="001E2721"/>
    <w:rsid w:val="001E393D"/>
    <w:rsid w:val="001F3935"/>
    <w:rsid w:val="001F6862"/>
    <w:rsid w:val="00211698"/>
    <w:rsid w:val="002259B5"/>
    <w:rsid w:val="002318A9"/>
    <w:rsid w:val="002353CF"/>
    <w:rsid w:val="002356D8"/>
    <w:rsid w:val="00247AE3"/>
    <w:rsid w:val="00252CFE"/>
    <w:rsid w:val="002642D3"/>
    <w:rsid w:val="00266A0F"/>
    <w:rsid w:val="00270620"/>
    <w:rsid w:val="002735B6"/>
    <w:rsid w:val="002740BF"/>
    <w:rsid w:val="002832CA"/>
    <w:rsid w:val="00291D8E"/>
    <w:rsid w:val="002A54A4"/>
    <w:rsid w:val="002A5F67"/>
    <w:rsid w:val="002A77D7"/>
    <w:rsid w:val="002A7DEA"/>
    <w:rsid w:val="002B02E4"/>
    <w:rsid w:val="002B5169"/>
    <w:rsid w:val="002B691C"/>
    <w:rsid w:val="002B6B93"/>
    <w:rsid w:val="002B7088"/>
    <w:rsid w:val="002B7B33"/>
    <w:rsid w:val="002C16E3"/>
    <w:rsid w:val="002C1795"/>
    <w:rsid w:val="002C6715"/>
    <w:rsid w:val="002D1C22"/>
    <w:rsid w:val="002E1583"/>
    <w:rsid w:val="002E77E3"/>
    <w:rsid w:val="002F30FC"/>
    <w:rsid w:val="002F6FE5"/>
    <w:rsid w:val="002F7E97"/>
    <w:rsid w:val="003065FB"/>
    <w:rsid w:val="003075FB"/>
    <w:rsid w:val="003100EA"/>
    <w:rsid w:val="003117BD"/>
    <w:rsid w:val="00314A7D"/>
    <w:rsid w:val="003167B6"/>
    <w:rsid w:val="00316F2E"/>
    <w:rsid w:val="003208DB"/>
    <w:rsid w:val="00324F52"/>
    <w:rsid w:val="00326266"/>
    <w:rsid w:val="00327CD3"/>
    <w:rsid w:val="00331B6F"/>
    <w:rsid w:val="00331D9C"/>
    <w:rsid w:val="003332A2"/>
    <w:rsid w:val="0033453D"/>
    <w:rsid w:val="00335AC8"/>
    <w:rsid w:val="00341A61"/>
    <w:rsid w:val="0034702C"/>
    <w:rsid w:val="00347EFE"/>
    <w:rsid w:val="003611D6"/>
    <w:rsid w:val="003652B7"/>
    <w:rsid w:val="0037371E"/>
    <w:rsid w:val="0037423B"/>
    <w:rsid w:val="00381E8D"/>
    <w:rsid w:val="00384286"/>
    <w:rsid w:val="00386121"/>
    <w:rsid w:val="00392F77"/>
    <w:rsid w:val="003967B6"/>
    <w:rsid w:val="003A4DA5"/>
    <w:rsid w:val="003B59AD"/>
    <w:rsid w:val="003C1F2D"/>
    <w:rsid w:val="003C34F7"/>
    <w:rsid w:val="003C3E6F"/>
    <w:rsid w:val="003D1C13"/>
    <w:rsid w:val="003D1D2F"/>
    <w:rsid w:val="003D76D8"/>
    <w:rsid w:val="003E1830"/>
    <w:rsid w:val="003E3830"/>
    <w:rsid w:val="003E55DE"/>
    <w:rsid w:val="003E6E6D"/>
    <w:rsid w:val="003E776F"/>
    <w:rsid w:val="003F46AE"/>
    <w:rsid w:val="00415944"/>
    <w:rsid w:val="0041601B"/>
    <w:rsid w:val="004160C0"/>
    <w:rsid w:val="00421BC6"/>
    <w:rsid w:val="00422E85"/>
    <w:rsid w:val="00425929"/>
    <w:rsid w:val="00427342"/>
    <w:rsid w:val="0043362F"/>
    <w:rsid w:val="004350A3"/>
    <w:rsid w:val="0044212E"/>
    <w:rsid w:val="004430E5"/>
    <w:rsid w:val="00444EF6"/>
    <w:rsid w:val="00446434"/>
    <w:rsid w:val="00454F59"/>
    <w:rsid w:val="0045786E"/>
    <w:rsid w:val="0046647B"/>
    <w:rsid w:val="00476AC8"/>
    <w:rsid w:val="00491108"/>
    <w:rsid w:val="0049447C"/>
    <w:rsid w:val="00494763"/>
    <w:rsid w:val="00496D8B"/>
    <w:rsid w:val="00496ECC"/>
    <w:rsid w:val="004A1CE0"/>
    <w:rsid w:val="004A2224"/>
    <w:rsid w:val="004C6806"/>
    <w:rsid w:val="004D2FDF"/>
    <w:rsid w:val="004D49FC"/>
    <w:rsid w:val="004D5A29"/>
    <w:rsid w:val="004E0CC3"/>
    <w:rsid w:val="004E23C3"/>
    <w:rsid w:val="004E7FDE"/>
    <w:rsid w:val="004F1C5A"/>
    <w:rsid w:val="004F1EE8"/>
    <w:rsid w:val="004F375F"/>
    <w:rsid w:val="004F7FC1"/>
    <w:rsid w:val="00501337"/>
    <w:rsid w:val="0050423F"/>
    <w:rsid w:val="0050527D"/>
    <w:rsid w:val="00505E97"/>
    <w:rsid w:val="00506D31"/>
    <w:rsid w:val="005079D9"/>
    <w:rsid w:val="0051649A"/>
    <w:rsid w:val="00520652"/>
    <w:rsid w:val="00525E2B"/>
    <w:rsid w:val="00536750"/>
    <w:rsid w:val="005405CB"/>
    <w:rsid w:val="00542271"/>
    <w:rsid w:val="00542495"/>
    <w:rsid w:val="0054306C"/>
    <w:rsid w:val="00550DF5"/>
    <w:rsid w:val="00552560"/>
    <w:rsid w:val="005551C2"/>
    <w:rsid w:val="00565BA6"/>
    <w:rsid w:val="00581061"/>
    <w:rsid w:val="00592916"/>
    <w:rsid w:val="00593DDD"/>
    <w:rsid w:val="00595439"/>
    <w:rsid w:val="00595620"/>
    <w:rsid w:val="005A13A4"/>
    <w:rsid w:val="005B3A32"/>
    <w:rsid w:val="005B5834"/>
    <w:rsid w:val="005C128E"/>
    <w:rsid w:val="005C7551"/>
    <w:rsid w:val="005C776C"/>
    <w:rsid w:val="005D12E6"/>
    <w:rsid w:val="005E12E5"/>
    <w:rsid w:val="005E4C03"/>
    <w:rsid w:val="005F661E"/>
    <w:rsid w:val="00622225"/>
    <w:rsid w:val="00622820"/>
    <w:rsid w:val="00630184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74DF0"/>
    <w:rsid w:val="00676D96"/>
    <w:rsid w:val="00681337"/>
    <w:rsid w:val="00686B7D"/>
    <w:rsid w:val="00686D3E"/>
    <w:rsid w:val="00695610"/>
    <w:rsid w:val="006A056E"/>
    <w:rsid w:val="006B28B1"/>
    <w:rsid w:val="006B5D52"/>
    <w:rsid w:val="006B6B81"/>
    <w:rsid w:val="006C05C9"/>
    <w:rsid w:val="006C0E79"/>
    <w:rsid w:val="006C1BA1"/>
    <w:rsid w:val="006C5B15"/>
    <w:rsid w:val="006C6E70"/>
    <w:rsid w:val="006D053D"/>
    <w:rsid w:val="006D1DC9"/>
    <w:rsid w:val="006F1F9A"/>
    <w:rsid w:val="006F4219"/>
    <w:rsid w:val="006F4668"/>
    <w:rsid w:val="006F5EBE"/>
    <w:rsid w:val="006F7150"/>
    <w:rsid w:val="00700604"/>
    <w:rsid w:val="00704EB9"/>
    <w:rsid w:val="007060C2"/>
    <w:rsid w:val="00707F0A"/>
    <w:rsid w:val="007216E2"/>
    <w:rsid w:val="00727A8E"/>
    <w:rsid w:val="007633B0"/>
    <w:rsid w:val="00764E59"/>
    <w:rsid w:val="00771519"/>
    <w:rsid w:val="007756C3"/>
    <w:rsid w:val="00775E2F"/>
    <w:rsid w:val="00777392"/>
    <w:rsid w:val="00777C16"/>
    <w:rsid w:val="00786DF5"/>
    <w:rsid w:val="007925BB"/>
    <w:rsid w:val="00792B20"/>
    <w:rsid w:val="00793520"/>
    <w:rsid w:val="007939CC"/>
    <w:rsid w:val="007960ED"/>
    <w:rsid w:val="007A65B9"/>
    <w:rsid w:val="007B7816"/>
    <w:rsid w:val="007D14E7"/>
    <w:rsid w:val="007D372B"/>
    <w:rsid w:val="007D77E3"/>
    <w:rsid w:val="007E1701"/>
    <w:rsid w:val="007F29FF"/>
    <w:rsid w:val="007F7858"/>
    <w:rsid w:val="00807DB8"/>
    <w:rsid w:val="008129B8"/>
    <w:rsid w:val="00813967"/>
    <w:rsid w:val="00813E4B"/>
    <w:rsid w:val="00813EF9"/>
    <w:rsid w:val="008154D1"/>
    <w:rsid w:val="008176E8"/>
    <w:rsid w:val="00824CFE"/>
    <w:rsid w:val="00825D79"/>
    <w:rsid w:val="00841B83"/>
    <w:rsid w:val="008453B1"/>
    <w:rsid w:val="00847E38"/>
    <w:rsid w:val="008525B1"/>
    <w:rsid w:val="00857978"/>
    <w:rsid w:val="00861E9D"/>
    <w:rsid w:val="008634DC"/>
    <w:rsid w:val="00866D65"/>
    <w:rsid w:val="00867FC0"/>
    <w:rsid w:val="00872346"/>
    <w:rsid w:val="00875990"/>
    <w:rsid w:val="00881F92"/>
    <w:rsid w:val="00897A24"/>
    <w:rsid w:val="008A406D"/>
    <w:rsid w:val="008C1396"/>
    <w:rsid w:val="008C4B1C"/>
    <w:rsid w:val="008C4D3B"/>
    <w:rsid w:val="008D1B34"/>
    <w:rsid w:val="008E0104"/>
    <w:rsid w:val="008E2A2A"/>
    <w:rsid w:val="008E44D9"/>
    <w:rsid w:val="008F1B89"/>
    <w:rsid w:val="009021AB"/>
    <w:rsid w:val="00904417"/>
    <w:rsid w:val="00907C18"/>
    <w:rsid w:val="00916389"/>
    <w:rsid w:val="00920E88"/>
    <w:rsid w:val="009265E5"/>
    <w:rsid w:val="00931A06"/>
    <w:rsid w:val="0093315E"/>
    <w:rsid w:val="0093322D"/>
    <w:rsid w:val="00941A5D"/>
    <w:rsid w:val="00951159"/>
    <w:rsid w:val="00957BF6"/>
    <w:rsid w:val="00962281"/>
    <w:rsid w:val="009627F4"/>
    <w:rsid w:val="0096699B"/>
    <w:rsid w:val="009739F2"/>
    <w:rsid w:val="009758AC"/>
    <w:rsid w:val="00976288"/>
    <w:rsid w:val="00977264"/>
    <w:rsid w:val="0097756A"/>
    <w:rsid w:val="0099168E"/>
    <w:rsid w:val="009916E4"/>
    <w:rsid w:val="0099472C"/>
    <w:rsid w:val="00994CA5"/>
    <w:rsid w:val="009A2F27"/>
    <w:rsid w:val="009A5CFE"/>
    <w:rsid w:val="009B0277"/>
    <w:rsid w:val="009B0CFB"/>
    <w:rsid w:val="009B1543"/>
    <w:rsid w:val="009B644E"/>
    <w:rsid w:val="009C00D4"/>
    <w:rsid w:val="009D0824"/>
    <w:rsid w:val="009D23D8"/>
    <w:rsid w:val="009D52A2"/>
    <w:rsid w:val="009D5434"/>
    <w:rsid w:val="009E1C38"/>
    <w:rsid w:val="009E6F66"/>
    <w:rsid w:val="009F6385"/>
    <w:rsid w:val="00A030ED"/>
    <w:rsid w:val="00A0459C"/>
    <w:rsid w:val="00A07614"/>
    <w:rsid w:val="00A14978"/>
    <w:rsid w:val="00A16DA4"/>
    <w:rsid w:val="00A16EFA"/>
    <w:rsid w:val="00A24A79"/>
    <w:rsid w:val="00A31414"/>
    <w:rsid w:val="00A41E4A"/>
    <w:rsid w:val="00A430D4"/>
    <w:rsid w:val="00A46674"/>
    <w:rsid w:val="00A507FF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B06AE"/>
    <w:rsid w:val="00AB08F8"/>
    <w:rsid w:val="00AC2296"/>
    <w:rsid w:val="00AC48C9"/>
    <w:rsid w:val="00AE5101"/>
    <w:rsid w:val="00AE5C21"/>
    <w:rsid w:val="00AE739B"/>
    <w:rsid w:val="00AF6D11"/>
    <w:rsid w:val="00B06F64"/>
    <w:rsid w:val="00B16BF7"/>
    <w:rsid w:val="00B1786F"/>
    <w:rsid w:val="00B24CF4"/>
    <w:rsid w:val="00B37C10"/>
    <w:rsid w:val="00B4797E"/>
    <w:rsid w:val="00B5688B"/>
    <w:rsid w:val="00B63398"/>
    <w:rsid w:val="00B66753"/>
    <w:rsid w:val="00B67F15"/>
    <w:rsid w:val="00B70B01"/>
    <w:rsid w:val="00B7232F"/>
    <w:rsid w:val="00B731A8"/>
    <w:rsid w:val="00B73F7C"/>
    <w:rsid w:val="00B74EB4"/>
    <w:rsid w:val="00B76146"/>
    <w:rsid w:val="00B83F82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3D4E"/>
    <w:rsid w:val="00BF7573"/>
    <w:rsid w:val="00BF7B2C"/>
    <w:rsid w:val="00C01F03"/>
    <w:rsid w:val="00C13B25"/>
    <w:rsid w:val="00C36787"/>
    <w:rsid w:val="00C45667"/>
    <w:rsid w:val="00C54235"/>
    <w:rsid w:val="00C549D1"/>
    <w:rsid w:val="00C55009"/>
    <w:rsid w:val="00C557E9"/>
    <w:rsid w:val="00C6440D"/>
    <w:rsid w:val="00C66AE3"/>
    <w:rsid w:val="00C673F6"/>
    <w:rsid w:val="00C67412"/>
    <w:rsid w:val="00C67F56"/>
    <w:rsid w:val="00C70ABD"/>
    <w:rsid w:val="00C764D1"/>
    <w:rsid w:val="00C77279"/>
    <w:rsid w:val="00C77A6F"/>
    <w:rsid w:val="00C8100D"/>
    <w:rsid w:val="00C8143C"/>
    <w:rsid w:val="00C85CEF"/>
    <w:rsid w:val="00C87AF7"/>
    <w:rsid w:val="00C91495"/>
    <w:rsid w:val="00C91DAC"/>
    <w:rsid w:val="00C95581"/>
    <w:rsid w:val="00CA488C"/>
    <w:rsid w:val="00CA7A30"/>
    <w:rsid w:val="00CB04BD"/>
    <w:rsid w:val="00CB3057"/>
    <w:rsid w:val="00CC7206"/>
    <w:rsid w:val="00CD1473"/>
    <w:rsid w:val="00CD4F9A"/>
    <w:rsid w:val="00CE2A2E"/>
    <w:rsid w:val="00CE3CD8"/>
    <w:rsid w:val="00CF1557"/>
    <w:rsid w:val="00D12440"/>
    <w:rsid w:val="00D14337"/>
    <w:rsid w:val="00D17B59"/>
    <w:rsid w:val="00D32F6B"/>
    <w:rsid w:val="00D33538"/>
    <w:rsid w:val="00D40333"/>
    <w:rsid w:val="00D41CEB"/>
    <w:rsid w:val="00D464FA"/>
    <w:rsid w:val="00D524C0"/>
    <w:rsid w:val="00D6399F"/>
    <w:rsid w:val="00D64165"/>
    <w:rsid w:val="00D64B14"/>
    <w:rsid w:val="00D71B36"/>
    <w:rsid w:val="00D7480E"/>
    <w:rsid w:val="00D748DD"/>
    <w:rsid w:val="00D82753"/>
    <w:rsid w:val="00D93B44"/>
    <w:rsid w:val="00D9546C"/>
    <w:rsid w:val="00D9662A"/>
    <w:rsid w:val="00DA513C"/>
    <w:rsid w:val="00DA5C06"/>
    <w:rsid w:val="00DA7F38"/>
    <w:rsid w:val="00DB1A92"/>
    <w:rsid w:val="00DB7AFD"/>
    <w:rsid w:val="00DC0B7A"/>
    <w:rsid w:val="00DC6A32"/>
    <w:rsid w:val="00DD5890"/>
    <w:rsid w:val="00DE43A8"/>
    <w:rsid w:val="00DE4EA7"/>
    <w:rsid w:val="00E02257"/>
    <w:rsid w:val="00E06EAC"/>
    <w:rsid w:val="00E07D0D"/>
    <w:rsid w:val="00E10B1F"/>
    <w:rsid w:val="00E11F37"/>
    <w:rsid w:val="00E1265D"/>
    <w:rsid w:val="00E13047"/>
    <w:rsid w:val="00E1445F"/>
    <w:rsid w:val="00E25470"/>
    <w:rsid w:val="00E36D6B"/>
    <w:rsid w:val="00E37D3B"/>
    <w:rsid w:val="00E66825"/>
    <w:rsid w:val="00E7585E"/>
    <w:rsid w:val="00E77B76"/>
    <w:rsid w:val="00E807BF"/>
    <w:rsid w:val="00E81484"/>
    <w:rsid w:val="00E825D9"/>
    <w:rsid w:val="00E8266F"/>
    <w:rsid w:val="00E83DF1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541F"/>
    <w:rsid w:val="00EC6E27"/>
    <w:rsid w:val="00EC76E0"/>
    <w:rsid w:val="00ED6F43"/>
    <w:rsid w:val="00ED725E"/>
    <w:rsid w:val="00EE2992"/>
    <w:rsid w:val="00EE4739"/>
    <w:rsid w:val="00EE5506"/>
    <w:rsid w:val="00EF1AE1"/>
    <w:rsid w:val="00EF1BC2"/>
    <w:rsid w:val="00EF1D36"/>
    <w:rsid w:val="00EF76B0"/>
    <w:rsid w:val="00F008EC"/>
    <w:rsid w:val="00F01400"/>
    <w:rsid w:val="00F02851"/>
    <w:rsid w:val="00F117DA"/>
    <w:rsid w:val="00F1362F"/>
    <w:rsid w:val="00F20479"/>
    <w:rsid w:val="00F3029C"/>
    <w:rsid w:val="00F46678"/>
    <w:rsid w:val="00F53361"/>
    <w:rsid w:val="00F608BD"/>
    <w:rsid w:val="00F72838"/>
    <w:rsid w:val="00F75AE9"/>
    <w:rsid w:val="00F77CF4"/>
    <w:rsid w:val="00F80717"/>
    <w:rsid w:val="00F8499C"/>
    <w:rsid w:val="00F86537"/>
    <w:rsid w:val="00F86926"/>
    <w:rsid w:val="00F87D63"/>
    <w:rsid w:val="00F90403"/>
    <w:rsid w:val="00F945BB"/>
    <w:rsid w:val="00FA493C"/>
    <w:rsid w:val="00FA6FE2"/>
    <w:rsid w:val="00FB58AB"/>
    <w:rsid w:val="00FB60AD"/>
    <w:rsid w:val="00FC51CB"/>
    <w:rsid w:val="00FD09E0"/>
    <w:rsid w:val="00FD1119"/>
    <w:rsid w:val="00FD6529"/>
    <w:rsid w:val="00FE2393"/>
    <w:rsid w:val="00FE461C"/>
    <w:rsid w:val="00FF010B"/>
    <w:rsid w:val="00FF291D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2F7E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70FE33-2116-473C-ABE1-40A64824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9706</TotalTime>
  <Pages>17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NËNTËMUJOR FINANCIAR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FINANCIAR</dc:title>
  <dc:subject>Për Kuvendin Komunal</dc:subject>
  <dc:creator>fikriverbani</dc:creator>
  <cp:lastModifiedBy>Bahri I. Selimi</cp:lastModifiedBy>
  <cp:revision>424</cp:revision>
  <cp:lastPrinted>2024-01-26T07:12:00Z</cp:lastPrinted>
  <dcterms:created xsi:type="dcterms:W3CDTF">2015-02-15T14:10:00Z</dcterms:created>
  <dcterms:modified xsi:type="dcterms:W3CDTF">2024-01-26T07:32:00Z</dcterms:modified>
</cp:coreProperties>
</file>