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6"/>
          <w:szCs w:val="72"/>
          <w:lang w:eastAsia="en-US"/>
        </w:rPr>
        <w:id w:val="1608928674"/>
        <w:docPartObj>
          <w:docPartGallery w:val="Cover Pages"/>
          <w:docPartUnique/>
        </w:docPartObj>
      </w:sdtPr>
      <w:sdtEndPr>
        <w:rPr>
          <w:rFonts w:ascii="Times New Roman" w:eastAsia="MS Mincho" w:hAnsi="Times New Roman" w:cs="Times New Roman"/>
          <w:b/>
          <w:bCs/>
          <w:sz w:val="26"/>
          <w:szCs w:val="26"/>
          <w:lang w:val="fr-FR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543"/>
            <w:gridCol w:w="3767"/>
            <w:gridCol w:w="2922"/>
          </w:tblGrid>
          <w:tr w:rsidR="00D93B44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D93B44" w:rsidRDefault="001A607D" w:rsidP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60"/>
                      <w:szCs w:val="60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FE461C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 xml:space="preserve">RAPORTI  NËNTËMUJOR </w:t>
                    </w:r>
                    <w:r w:rsidR="00622820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>FINANCIAR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D93B44" w:rsidRDefault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Per</w:t>
                </w:r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 per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iudhën:  </w:t>
                </w:r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J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anar –</w:t>
                </w:r>
                <w:r w:rsidR="00622820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Shtat</w:t>
                </w:r>
                <w:r w:rsidR="0097756A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or</w:t>
                </w:r>
              </w:p>
              <w:sdt>
                <w:sdtPr>
                  <w:rPr>
                    <w:color w:val="4F81BD" w:themeColor="accent1"/>
                    <w:sz w:val="100"/>
                    <w:szCs w:val="1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D93B44" w:rsidRDefault="00347EFE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100"/>
                        <w:szCs w:val="1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2023</w:t>
                    </w:r>
                  </w:p>
                </w:sdtContent>
              </w:sdt>
            </w:tc>
          </w:tr>
          <w:tr w:rsidR="00D93B44">
            <w:sdt>
              <w:sdtPr>
                <w:rPr>
                  <w:rFonts w:asciiTheme="majorHAnsi" w:hAnsiTheme="majorHAnsi"/>
                  <w:sz w:val="30"/>
                  <w:szCs w:val="30"/>
                </w:rPr>
                <w:alias w:val="Abstract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Default="00D93B44" w:rsidP="00D93B44">
                    <w:pPr>
                      <w:pStyle w:val="NoSpacing"/>
                    </w:pPr>
                    <w:r w:rsidRPr="00A637B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DREJTORIA PËR </w:t>
                    </w:r>
                    <w:r w:rsidR="0002706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 BUXHET DHE FINANCA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Pr="006418E2" w:rsidRDefault="00D93B44" w:rsidP="00D93B4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Për Kuvendin Komunal</w:t>
                    </w:r>
                  </w:p>
                </w:tc>
              </w:sdtContent>
            </w:sdt>
          </w:tr>
        </w:tbl>
        <w:p w:rsidR="00D93B44" w:rsidRDefault="00D93B44"/>
        <w:p w:rsidR="00D93B44" w:rsidRPr="00867FC0" w:rsidRDefault="00D93B44" w:rsidP="00D93B44"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</w:t>
          </w:r>
          <w:r>
            <w:t xml:space="preserve">               </w:t>
          </w:r>
          <w:r>
            <w:rPr>
              <w:noProof/>
            </w:rPr>
            <w:drawing>
              <wp:inline distT="0" distB="0" distL="0" distR="0" wp14:anchorId="38CDA425" wp14:editId="441EEEB7">
                <wp:extent cx="1007780" cy="900752"/>
                <wp:effectExtent l="0" t="0" r="1905" b="0"/>
                <wp:docPr id="16" name="Picture 16" descr="Description: 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895" cy="90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</w:t>
          </w:r>
          <w:r>
            <w:rPr>
              <w:b/>
              <w:bCs/>
              <w:lang w:val="sv-SE"/>
            </w:rPr>
            <w:t xml:space="preserve">   </w:t>
          </w:r>
          <w:r w:rsidRPr="00F72496">
            <w:rPr>
              <w:b/>
              <w:noProof/>
              <w:sz w:val="30"/>
              <w:szCs w:val="30"/>
            </w:rPr>
            <w:drawing>
              <wp:inline distT="0" distB="0" distL="0" distR="0" wp14:anchorId="71B8C30F" wp14:editId="58201BD2">
                <wp:extent cx="1008993" cy="819806"/>
                <wp:effectExtent l="0" t="0" r="127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813" cy="8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lang w:val="sv-SE"/>
            </w:rPr>
            <w:t xml:space="preserve">                                                                                 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40"/>
              <w:szCs w:val="40"/>
              <w:lang w:val="sv-SE"/>
            </w:rPr>
            <w:t xml:space="preserve">        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</w:pP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         </w:t>
          </w:r>
          <w:r w:rsidRPr="00BA72F9"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</w:t>
          </w: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Republika e Kosovës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  <w:t>Komuna e Kaçaniku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</w:pPr>
          <w:r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 xml:space="preserve"> 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>Republika Kosova-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Republic of Kosovo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it-IT"/>
            </w:rPr>
            <w:t>Opština  Kacanik – Municipal Kaçanik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                                                                                     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CD4F9A" w:rsidRDefault="00CD4F9A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Kryetari i komunës :</w:t>
          </w:r>
        </w:p>
        <w:p w:rsidR="00D93B44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Besim Ilazi _____________</w:t>
          </w:r>
        </w:p>
        <w:p w:rsidR="00021C50" w:rsidRDefault="00021C50" w:rsidP="00505E97">
          <w:pPr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9B0CFB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Kaçanik, Tetor</w:t>
          </w:r>
          <w:r w:rsidR="00704EB9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</w:t>
          </w:r>
          <w:r w:rsidR="00CB04BD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–</w:t>
          </w:r>
          <w:r w:rsidR="0019019C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2023</w:t>
          </w:r>
        </w:p>
        <w:p w:rsidR="00CB04BD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CB04BD" w:rsidRPr="00CD4F9A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2C1795" w:rsidRPr="008F1B89" w:rsidRDefault="002C1795" w:rsidP="00C45667">
          <w:pPr>
            <w:rPr>
              <w:lang w:val="sq-AL"/>
            </w:rPr>
          </w:pPr>
        </w:p>
        <w:p w:rsidR="002C1795" w:rsidRPr="002259B5" w:rsidRDefault="002C1795" w:rsidP="001B692F">
          <w:pPr>
            <w:pStyle w:val="ListParagraph"/>
            <w:numPr>
              <w:ilvl w:val="0"/>
              <w:numId w:val="15"/>
            </w:numPr>
            <w:rPr>
              <w:b/>
              <w:sz w:val="28"/>
              <w:szCs w:val="28"/>
              <w:lang w:val="sq-AL"/>
            </w:rPr>
          </w:pPr>
          <w:r w:rsidRPr="002259B5">
            <w:rPr>
              <w:b/>
              <w:sz w:val="28"/>
              <w:szCs w:val="28"/>
              <w:lang w:val="sq-AL"/>
            </w:rPr>
            <w:t xml:space="preserve">Raporti i Buxhetit </w:t>
          </w:r>
          <w:r w:rsidR="004E7FDE">
            <w:rPr>
              <w:b/>
              <w:sz w:val="28"/>
              <w:szCs w:val="28"/>
              <w:lang w:val="sq-AL"/>
            </w:rPr>
            <w:t xml:space="preserve"> </w:t>
          </w:r>
          <w:r w:rsidRPr="002259B5">
            <w:rPr>
              <w:b/>
              <w:sz w:val="28"/>
              <w:szCs w:val="28"/>
              <w:lang w:val="sq-AL"/>
            </w:rPr>
            <w:t>Komun</w:t>
          </w:r>
          <w:r w:rsidR="00A743DD" w:rsidRPr="002259B5">
            <w:rPr>
              <w:b/>
              <w:sz w:val="28"/>
              <w:szCs w:val="28"/>
              <w:lang w:val="sq-AL"/>
            </w:rPr>
            <w:t>al p</w:t>
          </w:r>
          <w:r w:rsidR="00A0459C">
            <w:rPr>
              <w:b/>
              <w:sz w:val="28"/>
              <w:szCs w:val="28"/>
              <w:lang w:val="sq-AL"/>
            </w:rPr>
            <w:t xml:space="preserve">ër periudhën  </w:t>
          </w:r>
          <w:r w:rsidR="00FF291D">
            <w:rPr>
              <w:b/>
              <w:sz w:val="28"/>
              <w:szCs w:val="28"/>
              <w:lang w:val="sq-AL"/>
            </w:rPr>
            <w:t xml:space="preserve">Janar – Shtator </w:t>
          </w:r>
          <w:r w:rsidR="00DE4EA7">
            <w:rPr>
              <w:b/>
              <w:sz w:val="28"/>
              <w:szCs w:val="28"/>
              <w:lang w:val="sq-AL"/>
            </w:rPr>
            <w:t>2023</w:t>
          </w:r>
          <w:r w:rsidRPr="002259B5">
            <w:rPr>
              <w:b/>
              <w:sz w:val="28"/>
              <w:szCs w:val="28"/>
              <w:lang w:val="sq-AL"/>
            </w:rPr>
            <w:t>:</w:t>
          </w:r>
        </w:p>
        <w:p w:rsidR="001B692F" w:rsidRPr="001B692F" w:rsidRDefault="001B692F" w:rsidP="001B692F">
          <w:pPr>
            <w:rPr>
              <w:b/>
              <w:sz w:val="24"/>
              <w:szCs w:val="24"/>
              <w:lang w:val="sq-AL"/>
            </w:rPr>
          </w:pPr>
        </w:p>
        <w:p w:rsidR="002C1795" w:rsidRDefault="002C1795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  <w:r w:rsidRPr="002C1795">
            <w:rPr>
              <w:rFonts w:cstheme="minorHAnsi"/>
            </w:rPr>
            <w:t>Raporti i Buxhetit Komunal për periud</w:t>
          </w:r>
          <w:r w:rsidR="00422E85">
            <w:rPr>
              <w:rFonts w:cstheme="minorHAnsi"/>
            </w:rPr>
            <w:t>hën Janar – Shtator</w:t>
          </w:r>
          <w:r w:rsidR="000E37AF">
            <w:rPr>
              <w:rFonts w:cstheme="minorHAnsi"/>
            </w:rPr>
            <w:t xml:space="preserve"> 2023</w:t>
          </w:r>
          <w:r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>ka për qëllim të informimit</w:t>
          </w:r>
          <w:r w:rsidR="004E7FDE"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 xml:space="preserve"> objektiv lidhur me ecurinë dhe me treguesit relevant rreth përmbushjes së planit të grumbullimit të mjeteve sipas burimeve, përmbushjes së obligimeve të planifikuara sipas plan programeve, dinamikën e mjeteve të shpenzuara dhe atë sipas natyrës së shpenzimeve dhe kategorive të përcaktuara buxhetore, rrjedhën e parasë si dhe treguesit tjerë që kanë ndikuar në rezultatet e përgjithshme për këtë periudhë. </w:t>
          </w:r>
          <w:r>
            <w:rPr>
              <w:rFonts w:cstheme="minorHAnsi"/>
            </w:rPr>
            <w:t xml:space="preserve">   </w:t>
          </w:r>
          <w:r w:rsidRPr="002C1795">
            <w:rPr>
              <w:rFonts w:cstheme="minorHAnsi"/>
            </w:rPr>
            <w:t>Ecuria e përgjithshme e këtyre tregues</w:t>
          </w:r>
          <w:r w:rsidR="002259B5">
            <w:rPr>
              <w:rFonts w:cstheme="minorHAnsi"/>
            </w:rPr>
            <w:t>ë</w:t>
          </w:r>
          <w:r w:rsidRPr="002C1795">
            <w:rPr>
              <w:rFonts w:cstheme="minorHAnsi"/>
            </w:rPr>
            <w:t xml:space="preserve">ve do të prezantohet për  </w:t>
          </w:r>
          <w:r w:rsidR="000E37AF">
            <w:rPr>
              <w:rFonts w:cstheme="minorHAnsi"/>
            </w:rPr>
            <w:t>13</w:t>
          </w:r>
          <w:r>
            <w:rPr>
              <w:rFonts w:cstheme="minorHAnsi"/>
            </w:rPr>
            <w:t xml:space="preserve"> </w:t>
          </w:r>
          <w:r w:rsidR="008F1B89">
            <w:rPr>
              <w:rFonts w:cstheme="minorHAnsi"/>
            </w:rPr>
            <w:t>(</w:t>
          </w:r>
          <w:r w:rsidR="000E37AF">
            <w:rPr>
              <w:rFonts w:cstheme="minorHAnsi"/>
            </w:rPr>
            <w:t>trem</w:t>
          </w:r>
          <w:r w:rsidR="00EB35AE">
            <w:rPr>
              <w:rFonts w:cstheme="minorHAnsi"/>
            </w:rPr>
            <w:t>bë</w:t>
          </w:r>
          <w:r w:rsidR="00C67F56">
            <w:rPr>
              <w:rFonts w:cstheme="minorHAnsi"/>
            </w:rPr>
            <w:t>dhjetë)  programet buxhetore</w:t>
          </w:r>
          <w:r w:rsidRPr="002C1795">
            <w:rPr>
              <w:rFonts w:cstheme="minorHAnsi"/>
            </w:rPr>
            <w:t>:</w:t>
          </w: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356D8" w:rsidRDefault="002356D8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8F1B89" w:rsidRDefault="008F1B89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Kryetarit,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Administrata e Përgjithshme dhe Çështjet Gjinore,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Kuvendit Komunal,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Buxhet</w:t>
          </w:r>
          <w:r w:rsidR="00A41E4A">
            <w:rPr>
              <w:rFonts w:cstheme="minorHAnsi"/>
            </w:rPr>
            <w:t xml:space="preserve"> dhe Financa</w:t>
          </w:r>
          <w:r>
            <w:rPr>
              <w:rFonts w:cstheme="minorHAnsi"/>
            </w:rPr>
            <w:t>,</w:t>
          </w:r>
        </w:p>
        <w:p w:rsidR="00A41E4A" w:rsidRPr="00A41E4A" w:rsidRDefault="00A41E4A" w:rsidP="00A41E4A">
          <w:pPr>
            <w:pStyle w:val="ListParagraph"/>
            <w:rPr>
              <w:rFonts w:cstheme="minorHAnsi"/>
            </w:rPr>
          </w:pPr>
        </w:p>
        <w:p w:rsidR="00A41E4A" w:rsidRDefault="00A41E4A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Zhvillim Ekonomik dhe Turizëm,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Shërbimet</w:t>
          </w:r>
          <w:r w:rsidR="004E7FDE">
            <w:rPr>
              <w:rFonts w:cstheme="minorHAnsi"/>
            </w:rPr>
            <w:t xml:space="preserve"> </w:t>
          </w:r>
          <w:r w:rsidR="00595620">
            <w:rPr>
              <w:rFonts w:cstheme="minorHAnsi"/>
            </w:rPr>
            <w:t xml:space="preserve"> Publike, Mbrojtje Civile </w:t>
          </w:r>
          <w:r>
            <w:rPr>
              <w:rFonts w:cstheme="minorHAnsi"/>
            </w:rPr>
            <w:t>dhe Emergjencat,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Bujqësia, Pylltaria dhe Zhvillimi Rural,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Planifikimi </w:t>
          </w:r>
          <w:r w:rsidR="004E7FDE">
            <w:rPr>
              <w:rFonts w:cstheme="minorHAnsi"/>
            </w:rPr>
            <w:t xml:space="preserve"> </w:t>
          </w:r>
          <w:r>
            <w:rPr>
              <w:rFonts w:cstheme="minorHAnsi"/>
            </w:rPr>
            <w:t>Urban dhe Mjedisi,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Shëndetësia dhe Mirëqenia Sociale,</w:t>
          </w:r>
        </w:p>
        <w:p w:rsidR="000066FE" w:rsidRPr="000066FE" w:rsidRDefault="000066FE" w:rsidP="000066FE">
          <w:pPr>
            <w:pStyle w:val="ListParagraph"/>
            <w:rPr>
              <w:rFonts w:cstheme="minorHAnsi"/>
            </w:rPr>
          </w:pPr>
        </w:p>
        <w:p w:rsidR="000066FE" w:rsidRDefault="000066FE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Shërbimet Sociale,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551C2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Arsim dhe Shkencë,</w:t>
          </w:r>
        </w:p>
        <w:p w:rsidR="001B42B6" w:rsidRPr="001B42B6" w:rsidRDefault="001B42B6" w:rsidP="001B42B6">
          <w:pPr>
            <w:pStyle w:val="ListParagraph"/>
            <w:rPr>
              <w:rFonts w:cstheme="minorHAnsi"/>
            </w:rPr>
          </w:pPr>
        </w:p>
        <w:p w:rsidR="001B42B6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Kulturë,Rini dhe Sport,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Pr="002C1795" w:rsidRDefault="004D49FC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Lokale për Komunitete. </w:t>
          </w:r>
        </w:p>
        <w:p w:rsidR="000D3CEB" w:rsidRDefault="001A607D" w:rsidP="00C45667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</w:sdtContent>
    </w:sdt>
    <w:p w:rsidR="004F1C5A" w:rsidRDefault="00867FC0">
      <w:pPr>
        <w:rPr>
          <w:b/>
          <w:bCs/>
          <w:lang w:val="sv-SE"/>
        </w:rPr>
      </w:pPr>
      <w:r>
        <w:t xml:space="preserve">                                                                  </w:t>
      </w:r>
      <w:r>
        <w:rPr>
          <w:b/>
          <w:bCs/>
          <w:lang w:val="sv-SE"/>
        </w:rPr>
        <w:t xml:space="preserve">                          </w:t>
      </w:r>
    </w:p>
    <w:p w:rsidR="004F1C5A" w:rsidRDefault="004F1C5A">
      <w:pPr>
        <w:rPr>
          <w:b/>
          <w:bCs/>
          <w:lang w:val="sv-SE"/>
        </w:rPr>
      </w:pPr>
    </w:p>
    <w:p w:rsidR="00A878A2" w:rsidRPr="00C45667" w:rsidRDefault="00867FC0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b/>
          <w:bCs/>
          <w:lang w:val="sv-SE"/>
        </w:rPr>
        <w:t xml:space="preserve">                                                               </w:t>
      </w:r>
      <w:r w:rsidR="00C45667">
        <w:rPr>
          <w:b/>
          <w:bCs/>
          <w:lang w:val="sv-SE"/>
        </w:rPr>
        <w:t xml:space="preserve">                          </w:t>
      </w:r>
    </w:p>
    <w:p w:rsidR="00867FC0" w:rsidRDefault="005551C2">
      <w:r w:rsidRPr="005551C2">
        <w:rPr>
          <w:noProof/>
        </w:rPr>
        <w:drawing>
          <wp:inline distT="0" distB="0" distL="0" distR="0">
            <wp:extent cx="6858000" cy="368870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8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4E" w:rsidRPr="004F1C5A" w:rsidRDefault="0009354E" w:rsidP="004F1C5A">
      <w:pPr>
        <w:jc w:val="both"/>
        <w:rPr>
          <w:rFonts w:cstheme="minorHAnsi"/>
          <w:lang w:val="sq-AL"/>
        </w:rPr>
      </w:pPr>
    </w:p>
    <w:p w:rsidR="004F1C5A" w:rsidRDefault="00FD6529" w:rsidP="00F20479">
      <w:pPr>
        <w:pStyle w:val="ListParagraph"/>
        <w:numPr>
          <w:ilvl w:val="0"/>
          <w:numId w:val="16"/>
        </w:numPr>
        <w:jc w:val="both"/>
        <w:rPr>
          <w:color w:val="000000" w:themeColor="text1"/>
          <w:lang w:val="sq-AL"/>
        </w:rPr>
      </w:pPr>
      <w:r w:rsidRPr="0037371E">
        <w:rPr>
          <w:color w:val="000000" w:themeColor="text1"/>
          <w:lang w:val="sq-AL"/>
        </w:rPr>
        <w:t xml:space="preserve">Buxheti </w:t>
      </w:r>
      <w:r w:rsidR="004F1C5A" w:rsidRPr="0037371E">
        <w:rPr>
          <w:color w:val="000000" w:themeColor="text1"/>
          <w:lang w:val="sq-AL"/>
        </w:rPr>
        <w:t>i miratuar për Komu</w:t>
      </w:r>
      <w:r w:rsidR="00B7232F">
        <w:rPr>
          <w:color w:val="000000" w:themeColor="text1"/>
          <w:lang w:val="sq-AL"/>
        </w:rPr>
        <w:t xml:space="preserve">nën e </w:t>
      </w:r>
      <w:r w:rsidR="00C557E9">
        <w:rPr>
          <w:color w:val="000000" w:themeColor="text1"/>
          <w:lang w:val="sq-AL"/>
        </w:rPr>
        <w:t>Kaçanikut  per vitin 2023</w:t>
      </w:r>
      <w:r w:rsidR="008129B8">
        <w:rPr>
          <w:color w:val="000000" w:themeColor="text1"/>
          <w:lang w:val="sq-AL"/>
        </w:rPr>
        <w:t xml:space="preserve"> </w:t>
      </w:r>
      <w:r w:rsidR="004F1C5A" w:rsidRPr="0037371E">
        <w:rPr>
          <w:color w:val="000000" w:themeColor="text1"/>
          <w:lang w:val="sq-AL"/>
        </w:rPr>
        <w:t xml:space="preserve"> është në shumë prej: </w:t>
      </w:r>
      <w:r w:rsidR="00C557E9">
        <w:rPr>
          <w:b/>
          <w:color w:val="000000" w:themeColor="text1"/>
          <w:lang w:val="sq-AL"/>
        </w:rPr>
        <w:t>10,674,689</w:t>
      </w:r>
      <w:r w:rsidR="0037371E" w:rsidRPr="0037371E">
        <w:rPr>
          <w:b/>
          <w:color w:val="000000" w:themeColor="text1"/>
          <w:lang w:val="sq-AL"/>
        </w:rPr>
        <w:t xml:space="preserve">.00 </w:t>
      </w:r>
      <w:r w:rsidRPr="0037371E">
        <w:rPr>
          <w:rFonts w:cstheme="minorHAnsi"/>
          <w:b/>
          <w:color w:val="000000" w:themeColor="text1"/>
          <w:lang w:val="sq-AL"/>
        </w:rPr>
        <w:t>€</w:t>
      </w:r>
      <w:r w:rsidR="004F1C5A" w:rsidRPr="0037371E">
        <w:rPr>
          <w:rFonts w:cstheme="minorHAnsi"/>
          <w:b/>
          <w:color w:val="000000" w:themeColor="text1"/>
          <w:lang w:val="sq-AL"/>
        </w:rPr>
        <w:t xml:space="preserve"> </w:t>
      </w:r>
      <w:r w:rsidRPr="0037371E">
        <w:rPr>
          <w:color w:val="000000" w:themeColor="text1"/>
          <w:lang w:val="sq-AL"/>
        </w:rPr>
        <w:t xml:space="preserve"> </w:t>
      </w:r>
    </w:p>
    <w:p w:rsidR="00841B83" w:rsidRPr="00F20479" w:rsidRDefault="00841B83" w:rsidP="00F20479">
      <w:pPr>
        <w:pStyle w:val="ListParagraph"/>
        <w:numPr>
          <w:ilvl w:val="0"/>
          <w:numId w:val="16"/>
        </w:numPr>
        <w:jc w:val="both"/>
        <w:rPr>
          <w:color w:val="000000" w:themeColor="text1"/>
          <w:lang w:val="sq-AL"/>
        </w:rPr>
      </w:pPr>
      <w:r>
        <w:rPr>
          <w:color w:val="000000" w:themeColor="text1"/>
          <w:lang w:val="sq-AL"/>
        </w:rPr>
        <w:t>Buxheti i tanishem pas bar</w:t>
      </w:r>
      <w:r w:rsidR="00FA6FE2">
        <w:rPr>
          <w:color w:val="000000" w:themeColor="text1"/>
          <w:lang w:val="sq-AL"/>
        </w:rPr>
        <w:t>t</w:t>
      </w:r>
      <w:r>
        <w:rPr>
          <w:color w:val="000000" w:themeColor="text1"/>
          <w:lang w:val="sq-AL"/>
        </w:rPr>
        <w:t xml:space="preserve">jes se </w:t>
      </w:r>
      <w:r w:rsidR="00C557E9">
        <w:rPr>
          <w:color w:val="000000" w:themeColor="text1"/>
          <w:lang w:val="sq-AL"/>
        </w:rPr>
        <w:t>një pjese të të</w:t>
      </w:r>
      <w:r>
        <w:rPr>
          <w:color w:val="000000" w:themeColor="text1"/>
          <w:lang w:val="sq-AL"/>
        </w:rPr>
        <w:t xml:space="preserve"> hyrave dhe donacioneve te pashpenzuara nga viti kaluar, ka arritur shumën prej </w:t>
      </w:r>
      <w:r w:rsidR="00C557E9">
        <w:rPr>
          <w:b/>
          <w:color w:val="000000" w:themeColor="text1"/>
          <w:lang w:val="sq-AL"/>
        </w:rPr>
        <w:t>11,183,045.91</w:t>
      </w:r>
      <w:r w:rsidRPr="001E2721">
        <w:rPr>
          <w:b/>
          <w:color w:val="000000" w:themeColor="text1"/>
          <w:lang w:val="sq-AL"/>
        </w:rPr>
        <w:t xml:space="preserve"> €.</w:t>
      </w:r>
    </w:p>
    <w:p w:rsidR="00B95D4E" w:rsidRPr="00324F52" w:rsidRDefault="00B95D4E" w:rsidP="00B95D4E">
      <w:pPr>
        <w:pStyle w:val="ListParagraph"/>
        <w:rPr>
          <w:b/>
          <w:color w:val="FF0000"/>
          <w:lang w:val="sq-AL"/>
        </w:rPr>
      </w:pPr>
    </w:p>
    <w:p w:rsidR="008E2A2A" w:rsidRPr="00FF010B" w:rsidRDefault="005B3A32" w:rsidP="0046232B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F20479">
        <w:rPr>
          <w:color w:val="000000" w:themeColor="text1"/>
          <w:lang w:val="sq-AL"/>
        </w:rPr>
        <w:t>Struktura e pjesëmarrjes së mjeteve në buxhetin total</w:t>
      </w:r>
      <w:r w:rsidR="00AE5101">
        <w:rPr>
          <w:color w:val="000000" w:themeColor="text1"/>
          <w:lang w:val="sq-AL"/>
        </w:rPr>
        <w:t xml:space="preserve"> të planifikuar per vitin </w:t>
      </w:r>
      <w:r w:rsidR="000D3528">
        <w:rPr>
          <w:color w:val="000000" w:themeColor="text1"/>
          <w:lang w:val="sq-AL"/>
        </w:rPr>
        <w:t>2023</w:t>
      </w:r>
      <w:r w:rsidRPr="00F20479">
        <w:rPr>
          <w:color w:val="000000" w:themeColor="text1"/>
          <w:lang w:val="sq-AL"/>
        </w:rPr>
        <w:t>:</w:t>
      </w:r>
      <w:r w:rsidR="003065FB">
        <w:rPr>
          <w:color w:val="000000" w:themeColor="text1"/>
          <w:lang w:val="sq-AL"/>
        </w:rPr>
        <w:t xml:space="preserve"> </w:t>
      </w:r>
      <w:r w:rsidR="00C6440D" w:rsidRPr="00F20479">
        <w:rPr>
          <w:color w:val="000000" w:themeColor="text1"/>
          <w:lang w:val="sq-AL"/>
        </w:rPr>
        <w:t xml:space="preserve">Granti Qeveritarë </w:t>
      </w:r>
      <w:r w:rsidR="00501337">
        <w:rPr>
          <w:b/>
          <w:color w:val="000000" w:themeColor="text1"/>
          <w:lang w:val="sq-AL"/>
        </w:rPr>
        <w:t>91.92</w:t>
      </w:r>
      <w:r w:rsidR="00B95D4E" w:rsidRPr="00F20479">
        <w:rPr>
          <w:b/>
          <w:color w:val="000000" w:themeColor="text1"/>
          <w:lang w:val="sq-AL"/>
        </w:rPr>
        <w:t>%</w:t>
      </w:r>
      <w:r w:rsidR="004C6806" w:rsidRPr="00F20479">
        <w:rPr>
          <w:color w:val="000000" w:themeColor="text1"/>
          <w:lang w:val="sq-AL"/>
        </w:rPr>
        <w:t xml:space="preserve"> apo shuma</w:t>
      </w:r>
      <w:r w:rsidR="00B95D4E" w:rsidRPr="00F20479">
        <w:rPr>
          <w:color w:val="000000" w:themeColor="text1"/>
          <w:lang w:val="sq-AL"/>
        </w:rPr>
        <w:t xml:space="preserve"> prej:  </w:t>
      </w:r>
      <w:r w:rsidR="00501337">
        <w:rPr>
          <w:b/>
          <w:color w:val="000000" w:themeColor="text1"/>
          <w:lang w:val="sq-AL"/>
        </w:rPr>
        <w:t>9,812,111</w:t>
      </w:r>
      <w:r w:rsidR="00F20479" w:rsidRPr="00F20479">
        <w:rPr>
          <w:b/>
          <w:color w:val="000000" w:themeColor="text1"/>
          <w:lang w:val="sq-AL"/>
        </w:rPr>
        <w:t>.00</w:t>
      </w:r>
      <w:r w:rsidRPr="00F20479">
        <w:rPr>
          <w:rFonts w:cstheme="minorHAnsi"/>
          <w:b/>
          <w:color w:val="000000" w:themeColor="text1"/>
          <w:lang w:val="sq-AL"/>
        </w:rPr>
        <w:t>€</w:t>
      </w:r>
      <w:r w:rsidR="00FD1119" w:rsidRPr="00F20479">
        <w:rPr>
          <w:color w:val="000000" w:themeColor="text1"/>
          <w:lang w:val="sq-AL"/>
        </w:rPr>
        <w:t xml:space="preserve"> </w:t>
      </w:r>
      <w:r w:rsidR="005F661E" w:rsidRPr="00F20479">
        <w:rPr>
          <w:color w:val="000000" w:themeColor="text1"/>
          <w:lang w:val="sq-AL"/>
        </w:rPr>
        <w:t xml:space="preserve">, </w:t>
      </w:r>
      <w:r w:rsidR="00542271" w:rsidRPr="00F20479">
        <w:rPr>
          <w:color w:val="000000" w:themeColor="text1"/>
          <w:lang w:val="sq-AL"/>
        </w:rPr>
        <w:t>të hyrat vetanake</w:t>
      </w:r>
      <w:r w:rsidR="00C6440D" w:rsidRPr="00F20479">
        <w:rPr>
          <w:color w:val="000000" w:themeColor="text1"/>
          <w:lang w:val="sq-AL"/>
        </w:rPr>
        <w:t xml:space="preserve"> </w:t>
      </w:r>
      <w:r w:rsidR="00501337">
        <w:rPr>
          <w:b/>
          <w:color w:val="000000" w:themeColor="text1"/>
          <w:lang w:val="sq-AL"/>
        </w:rPr>
        <w:t>8.08</w:t>
      </w:r>
      <w:r w:rsidR="00FD1119" w:rsidRPr="00F20479">
        <w:rPr>
          <w:b/>
          <w:color w:val="000000" w:themeColor="text1"/>
          <w:lang w:val="sq-AL"/>
        </w:rPr>
        <w:t>%</w:t>
      </w:r>
      <w:r w:rsidR="00FD1119" w:rsidRPr="00F20479">
        <w:rPr>
          <w:color w:val="000000" w:themeColor="text1"/>
          <w:lang w:val="sq-AL"/>
        </w:rPr>
        <w:t xml:space="preserve"> apo </w:t>
      </w:r>
      <w:r w:rsidR="004C6806" w:rsidRPr="00F20479">
        <w:rPr>
          <w:color w:val="000000" w:themeColor="text1"/>
          <w:lang w:val="sq-AL"/>
        </w:rPr>
        <w:t xml:space="preserve">shuma prej: </w:t>
      </w:r>
      <w:r w:rsidR="00501337">
        <w:rPr>
          <w:b/>
          <w:color w:val="000000" w:themeColor="text1"/>
          <w:lang w:val="sq-AL"/>
        </w:rPr>
        <w:t>862,578</w:t>
      </w:r>
      <w:r w:rsidR="00F20479" w:rsidRPr="00F20479">
        <w:rPr>
          <w:b/>
          <w:color w:val="000000" w:themeColor="text1"/>
          <w:lang w:val="sq-AL"/>
        </w:rPr>
        <w:t>.00</w:t>
      </w:r>
      <w:r w:rsidR="003065FB">
        <w:rPr>
          <w:b/>
          <w:color w:val="000000" w:themeColor="text1"/>
          <w:lang w:val="sq-AL"/>
        </w:rPr>
        <w:t xml:space="preserve"> euro.</w:t>
      </w:r>
    </w:p>
    <w:p w:rsidR="00FF010B" w:rsidRPr="00FF010B" w:rsidRDefault="00FF010B" w:rsidP="00FF010B">
      <w:pPr>
        <w:pStyle w:val="ListParagraph"/>
        <w:rPr>
          <w:lang w:val="sq-AL"/>
        </w:rPr>
      </w:pPr>
    </w:p>
    <w:p w:rsidR="00FF010B" w:rsidRDefault="00FF010B" w:rsidP="0046232B">
      <w:pPr>
        <w:pStyle w:val="ListParagraph"/>
        <w:numPr>
          <w:ilvl w:val="0"/>
          <w:numId w:val="16"/>
        </w:numPr>
        <w:jc w:val="both"/>
        <w:rPr>
          <w:lang w:val="sq-AL"/>
        </w:rPr>
      </w:pPr>
      <w:r>
        <w:rPr>
          <w:lang w:val="sq-AL"/>
        </w:rPr>
        <w:t xml:space="preserve">Shuma e përgjithshme e mjeteve te shpenzuara për këtë periudhë është 7,056,309.97 euro, e cila është paraqitur në kolonën nr.3 të tabelës. </w:t>
      </w:r>
    </w:p>
    <w:p w:rsidR="00266A0F" w:rsidRPr="00266A0F" w:rsidRDefault="00266A0F" w:rsidP="00266A0F">
      <w:pPr>
        <w:pStyle w:val="ListParagraph"/>
        <w:rPr>
          <w:lang w:val="sq-AL"/>
        </w:rPr>
      </w:pPr>
    </w:p>
    <w:p w:rsidR="00266A0F" w:rsidRDefault="00266A0F" w:rsidP="0046232B">
      <w:pPr>
        <w:pStyle w:val="ListParagraph"/>
        <w:numPr>
          <w:ilvl w:val="0"/>
          <w:numId w:val="16"/>
        </w:numPr>
        <w:jc w:val="both"/>
        <w:rPr>
          <w:lang w:val="sq-AL"/>
        </w:rPr>
      </w:pPr>
      <w:r>
        <w:rPr>
          <w:lang w:val="sq-AL"/>
        </w:rPr>
        <w:t>Progresi i arritur i shpenzimit te buxhetit gjetë kësaj periudhe shprehur në përqindje është 63.10%.</w:t>
      </w:r>
    </w:p>
    <w:p w:rsidR="002A77D7" w:rsidRPr="002A77D7" w:rsidRDefault="002A77D7" w:rsidP="002A77D7">
      <w:pPr>
        <w:pStyle w:val="ListParagraph"/>
        <w:rPr>
          <w:lang w:val="sq-AL"/>
        </w:rPr>
      </w:pPr>
    </w:p>
    <w:p w:rsidR="002A77D7" w:rsidRPr="00F20479" w:rsidRDefault="002A77D7" w:rsidP="0046232B">
      <w:pPr>
        <w:pStyle w:val="ListParagraph"/>
        <w:numPr>
          <w:ilvl w:val="0"/>
          <w:numId w:val="16"/>
        </w:numPr>
        <w:jc w:val="both"/>
        <w:rPr>
          <w:lang w:val="sq-AL"/>
        </w:rPr>
      </w:pPr>
      <w:r>
        <w:rPr>
          <w:lang w:val="sq-AL"/>
        </w:rPr>
        <w:t>Buxheti i shpenzuar per periudhën janar-shtator 2023, krahasuar me periudhën e njejtë të vitit të kaluar është për 1,974,709.70 euro më i lartë</w:t>
      </w:r>
      <w:r w:rsidR="00786DF5">
        <w:rPr>
          <w:lang w:val="sq-AL"/>
        </w:rPr>
        <w:t xml:space="preserve">, kjo diferencë e ngritjes se shpenzimeve vjen kryesisht nga shkalla me e lartë e shpenzimeve te kategoria e pagave dhe mëditjeve përshkak të ngritjes se nivelit te pagave nga muaji shkurt 2023 me Ligjin e ri dhe pjesa tjetër nga shkalla më e lartë e treguar te kategoria e investimeve kapitale. </w:t>
      </w:r>
    </w:p>
    <w:p w:rsidR="008E44D9" w:rsidRDefault="008E44D9" w:rsidP="008E2A2A">
      <w:pPr>
        <w:jc w:val="center"/>
        <w:rPr>
          <w:b/>
          <w:lang w:val="sq-AL"/>
        </w:rPr>
      </w:pPr>
    </w:p>
    <w:p w:rsidR="006B28B1" w:rsidRPr="0044212E" w:rsidRDefault="006B28B1" w:rsidP="00D82753">
      <w:pPr>
        <w:rPr>
          <w:noProof/>
        </w:rPr>
      </w:pPr>
    </w:p>
    <w:p w:rsidR="00E10B1F" w:rsidRDefault="00E10B1F" w:rsidP="00792B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D1C13" w:rsidRPr="006C5B15" w:rsidRDefault="006C5B15" w:rsidP="006C5B15">
      <w:pPr>
        <w:rPr>
          <w:b/>
          <w:sz w:val="24"/>
          <w:szCs w:val="24"/>
        </w:rPr>
      </w:pPr>
      <w:r w:rsidRPr="00010B41">
        <w:rPr>
          <w:b/>
          <w:sz w:val="28"/>
          <w:szCs w:val="28"/>
        </w:rPr>
        <w:t>II.</w:t>
      </w:r>
      <w:r>
        <w:rPr>
          <w:b/>
          <w:sz w:val="24"/>
          <w:szCs w:val="24"/>
        </w:rPr>
        <w:t xml:space="preserve">  </w:t>
      </w:r>
      <w:r w:rsidR="00EE2992">
        <w:rPr>
          <w:b/>
          <w:sz w:val="28"/>
          <w:szCs w:val="28"/>
        </w:rPr>
        <w:t>Raporti i</w:t>
      </w:r>
      <w:r w:rsidRPr="00010B41">
        <w:rPr>
          <w:b/>
          <w:sz w:val="28"/>
          <w:szCs w:val="28"/>
        </w:rPr>
        <w:t xml:space="preserve"> inkasimit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të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të hyrave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vetanake</w:t>
      </w:r>
      <w:r w:rsidR="003D1C13" w:rsidRPr="00010B41">
        <w:rPr>
          <w:b/>
          <w:sz w:val="28"/>
          <w:szCs w:val="28"/>
        </w:rPr>
        <w:t>:</w:t>
      </w:r>
    </w:p>
    <w:p w:rsidR="00552560" w:rsidRDefault="00E10B1F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Të hyrat </w:t>
      </w:r>
      <w:r w:rsidR="003D1C13" w:rsidRPr="003D1C13">
        <w:rPr>
          <w:rFonts w:cstheme="minorHAnsi"/>
        </w:rPr>
        <w:t>vetana</w:t>
      </w:r>
      <w:r>
        <w:rPr>
          <w:rFonts w:cstheme="minorHAnsi"/>
        </w:rPr>
        <w:t xml:space="preserve">ke </w:t>
      </w:r>
      <w:r w:rsidR="006B28B1">
        <w:rPr>
          <w:rFonts w:cstheme="minorHAnsi"/>
        </w:rPr>
        <w:t xml:space="preserve">direkte </w:t>
      </w:r>
      <w:r>
        <w:rPr>
          <w:rFonts w:cstheme="minorHAnsi"/>
        </w:rPr>
        <w:t xml:space="preserve">të grumbulluara gjatë  periudhës  raportuese </w:t>
      </w:r>
      <w:r w:rsidR="003D1C13">
        <w:rPr>
          <w:rFonts w:cstheme="minorHAnsi"/>
        </w:rPr>
        <w:t xml:space="preserve"> kanë ar</w:t>
      </w:r>
      <w:r w:rsidR="00381E8D">
        <w:rPr>
          <w:rFonts w:cstheme="minorHAnsi"/>
        </w:rPr>
        <w:t>ritur lartësinë e realizimit</w:t>
      </w:r>
      <w:r>
        <w:rPr>
          <w:rFonts w:cstheme="minorHAnsi"/>
        </w:rPr>
        <w:t xml:space="preserve"> prej</w:t>
      </w:r>
      <w:r w:rsidR="004C6806">
        <w:rPr>
          <w:rFonts w:cstheme="minorHAnsi"/>
        </w:rPr>
        <w:t xml:space="preserve">  </w:t>
      </w:r>
      <w:r w:rsidR="0044212E">
        <w:rPr>
          <w:rFonts w:cstheme="minorHAnsi"/>
          <w:b/>
          <w:color w:val="000000" w:themeColor="text1"/>
        </w:rPr>
        <w:t>733,899.74</w:t>
      </w:r>
      <w:r w:rsidR="003D1C13" w:rsidRPr="004C6806">
        <w:rPr>
          <w:rFonts w:cstheme="minorHAnsi"/>
          <w:b/>
        </w:rPr>
        <w:t>€</w:t>
      </w:r>
      <w:r w:rsidR="003D1C13" w:rsidRPr="003D1C13">
        <w:rPr>
          <w:rFonts w:cstheme="minorHAnsi"/>
        </w:rPr>
        <w:t xml:space="preserve"> që përbë</w:t>
      </w:r>
      <w:r>
        <w:rPr>
          <w:rFonts w:cstheme="minorHAnsi"/>
        </w:rPr>
        <w:t>j</w:t>
      </w:r>
      <w:r w:rsidR="003D1C13" w:rsidRPr="003D1C13">
        <w:rPr>
          <w:rFonts w:cstheme="minorHAnsi"/>
        </w:rPr>
        <w:t>n</w:t>
      </w:r>
      <w:r>
        <w:rPr>
          <w:rFonts w:cstheme="minorHAnsi"/>
        </w:rPr>
        <w:t>ë</w:t>
      </w:r>
      <w:r w:rsidR="003D1C13" w:rsidRPr="003D1C13">
        <w:rPr>
          <w:rFonts w:cstheme="minorHAnsi"/>
        </w:rPr>
        <w:t xml:space="preserve"> </w:t>
      </w:r>
      <w:r w:rsidR="0044212E">
        <w:rPr>
          <w:rFonts w:cstheme="minorHAnsi"/>
          <w:b/>
        </w:rPr>
        <w:t>85.08</w:t>
      </w:r>
      <w:r w:rsidR="003D1C13" w:rsidRPr="004C6806">
        <w:rPr>
          <w:rFonts w:cstheme="minorHAnsi"/>
          <w:b/>
        </w:rPr>
        <w:t>%</w:t>
      </w:r>
      <w:r w:rsidR="003D1C13" w:rsidRPr="003D1C13">
        <w:rPr>
          <w:rFonts w:cstheme="minorHAnsi"/>
        </w:rPr>
        <w:t xml:space="preserve"> </w:t>
      </w:r>
      <w:r>
        <w:rPr>
          <w:rFonts w:cstheme="minorHAnsi"/>
        </w:rPr>
        <w:t>të planifikimit</w:t>
      </w:r>
      <w:r w:rsidR="00491108">
        <w:rPr>
          <w:rFonts w:cstheme="minorHAnsi"/>
        </w:rPr>
        <w:t xml:space="preserve"> </w:t>
      </w:r>
      <w:r w:rsidR="004C6806">
        <w:rPr>
          <w:rFonts w:cstheme="minorHAnsi"/>
        </w:rPr>
        <w:t xml:space="preserve">të gjithëmbarshëm vjetorë në shumë prej </w:t>
      </w:r>
      <w:r w:rsidR="007A65B9">
        <w:rPr>
          <w:rFonts w:cstheme="minorHAnsi"/>
          <w:b/>
        </w:rPr>
        <w:t>862,578</w:t>
      </w:r>
      <w:r w:rsidR="00491108" w:rsidRPr="004C6806">
        <w:rPr>
          <w:rFonts w:cstheme="minorHAnsi"/>
          <w:b/>
        </w:rPr>
        <w:t>.00€.</w:t>
      </w:r>
      <w:r w:rsidR="00491108">
        <w:rPr>
          <w:rFonts w:cstheme="minorHAnsi"/>
        </w:rPr>
        <w:t xml:space="preserve"> </w:t>
      </w:r>
      <w:r w:rsidR="003D1C13">
        <w:rPr>
          <w:rFonts w:cstheme="minorHAnsi"/>
        </w:rPr>
        <w:t xml:space="preserve">  </w:t>
      </w:r>
    </w:p>
    <w:p w:rsidR="005C128E" w:rsidRDefault="005C128E" w:rsidP="007D77E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1E2721" w:rsidRDefault="00857978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857978">
        <w:rPr>
          <w:noProof/>
        </w:rPr>
        <w:drawing>
          <wp:inline distT="0" distB="0" distL="0" distR="0">
            <wp:extent cx="6687185" cy="7108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710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78" w:rsidRDefault="00857978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857978" w:rsidRDefault="00857978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857978" w:rsidRDefault="00857978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857978" w:rsidRDefault="00857978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857978">
        <w:rPr>
          <w:noProof/>
        </w:rPr>
        <w:lastRenderedPageBreak/>
        <w:drawing>
          <wp:inline distT="0" distB="0" distL="0" distR="0">
            <wp:extent cx="6687185" cy="22663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B9" w:rsidRDefault="007A65B9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7A65B9" w:rsidRDefault="007A65B9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E2721" w:rsidRDefault="001E272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B66753" w:rsidRPr="00B66753" w:rsidRDefault="00BF3D4E" w:rsidP="00BF3D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●  </w:t>
      </w:r>
      <w:r w:rsidR="00B66753">
        <w:rPr>
          <w:rFonts w:cstheme="minorHAnsi"/>
          <w:color w:val="000000"/>
        </w:rPr>
        <w:t>Bazuar në tabelën e realizimit të të hyrave vetanake, llojet e të hyrave të cilat tregojnë inkasim apo progress më të lartë se periudha e njejtë e vitit të kaluar janë të hyrat nga tatami në pronë dhe tokë</w:t>
      </w:r>
      <w:r w:rsidR="00A14978">
        <w:rPr>
          <w:rFonts w:cstheme="minorHAnsi"/>
          <w:color w:val="000000"/>
        </w:rPr>
        <w:t xml:space="preserve">, taksat për leje ndërtimi, taksat për matjen e tokës në teren, taksat për leje mjedisore, taksat për ndërrim dhe destinim të tokës, etj. </w:t>
      </w:r>
    </w:p>
    <w:p w:rsidR="001E2721" w:rsidRDefault="001E272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E2721" w:rsidRDefault="001E272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507FF" w:rsidRDefault="00A507FF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E2721" w:rsidRDefault="001E272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E2721" w:rsidRDefault="001E272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47382" w:rsidRDefault="00147382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47382" w:rsidRDefault="00147382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47382" w:rsidRDefault="00147382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147382" w:rsidRDefault="00147382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D64B14" w:rsidRDefault="00D64B14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D64B14" w:rsidRDefault="00D64B14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D64B14" w:rsidRDefault="00D64B14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764D1" w:rsidRDefault="00C764D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02569A" w:rsidRPr="00593DDD" w:rsidRDefault="006C5B15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593DDD">
        <w:rPr>
          <w:rFonts w:cstheme="minorHAnsi"/>
          <w:b/>
          <w:color w:val="000000"/>
          <w:sz w:val="28"/>
          <w:szCs w:val="28"/>
        </w:rPr>
        <w:t>I</w:t>
      </w:r>
      <w:r w:rsidR="003C1F2D" w:rsidRPr="00593DDD">
        <w:rPr>
          <w:rFonts w:cstheme="minorHAnsi"/>
          <w:b/>
          <w:color w:val="000000"/>
          <w:sz w:val="28"/>
          <w:szCs w:val="28"/>
        </w:rPr>
        <w:t>II . Shpenzimet e realizuara pë</w:t>
      </w:r>
      <w:r w:rsidR="00A507FF">
        <w:rPr>
          <w:rFonts w:cstheme="minorHAnsi"/>
          <w:b/>
          <w:color w:val="000000"/>
          <w:sz w:val="28"/>
          <w:szCs w:val="28"/>
        </w:rPr>
        <w:t>r periudhën   Janar – Shtator</w:t>
      </w:r>
      <w:r w:rsidR="00147382">
        <w:rPr>
          <w:rFonts w:cstheme="minorHAnsi"/>
          <w:b/>
          <w:color w:val="000000"/>
          <w:sz w:val="28"/>
          <w:szCs w:val="28"/>
        </w:rPr>
        <w:t xml:space="preserve"> 2023</w:t>
      </w:r>
      <w:r w:rsidR="003C1F2D" w:rsidRPr="00593DDD">
        <w:rPr>
          <w:rFonts w:cstheme="minorHAnsi"/>
          <w:b/>
          <w:color w:val="000000"/>
          <w:sz w:val="28"/>
          <w:szCs w:val="28"/>
        </w:rPr>
        <w:t>:</w:t>
      </w:r>
    </w:p>
    <w:p w:rsidR="00CB3057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E02257" w:rsidRDefault="0002569A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C13B25">
        <w:rPr>
          <w:rFonts w:cstheme="minorHAnsi"/>
          <w:color w:val="000000" w:themeColor="text1"/>
        </w:rPr>
        <w:t xml:space="preserve">Dinamika e shpenzimeve për  këtë periudhë është </w:t>
      </w:r>
      <w:r w:rsidR="00C764D1" w:rsidRPr="00C13B25">
        <w:rPr>
          <w:rFonts w:cstheme="minorHAnsi"/>
          <w:color w:val="000000" w:themeColor="text1"/>
        </w:rPr>
        <w:t xml:space="preserve"> realizuar  </w:t>
      </w:r>
      <w:r w:rsidRPr="00C13B25">
        <w:rPr>
          <w:rFonts w:cstheme="minorHAnsi"/>
          <w:color w:val="000000" w:themeColor="text1"/>
        </w:rPr>
        <w:t xml:space="preserve">me </w:t>
      </w:r>
      <w:r w:rsidR="00147382">
        <w:rPr>
          <w:rFonts w:cstheme="minorHAnsi"/>
          <w:b/>
          <w:color w:val="000000" w:themeColor="text1"/>
        </w:rPr>
        <w:t>63.10</w:t>
      </w:r>
      <w:r w:rsidR="003C1F2D" w:rsidRPr="00807DB8">
        <w:rPr>
          <w:rFonts w:cstheme="minorHAnsi"/>
          <w:b/>
          <w:color w:val="000000" w:themeColor="text1"/>
        </w:rPr>
        <w:t>%</w:t>
      </w:r>
      <w:r w:rsidR="003C1F2D" w:rsidRPr="00C13B25">
        <w:rPr>
          <w:rFonts w:cstheme="minorHAnsi"/>
          <w:color w:val="000000" w:themeColor="text1"/>
        </w:rPr>
        <w:t xml:space="preserve"> në raport me Buxhetin </w:t>
      </w:r>
      <w:r w:rsidR="00674DF0">
        <w:rPr>
          <w:rFonts w:cstheme="minorHAnsi"/>
          <w:color w:val="000000" w:themeColor="text1"/>
        </w:rPr>
        <w:t>a</w:t>
      </w:r>
      <w:r w:rsidR="00DB7AFD">
        <w:rPr>
          <w:rFonts w:cstheme="minorHAnsi"/>
          <w:color w:val="000000" w:themeColor="text1"/>
        </w:rPr>
        <w:t xml:space="preserve">ktual </w:t>
      </w:r>
      <w:r w:rsidR="00C13B25" w:rsidRPr="00C13B25">
        <w:rPr>
          <w:rFonts w:cstheme="minorHAnsi"/>
          <w:color w:val="000000" w:themeColor="text1"/>
        </w:rPr>
        <w:t xml:space="preserve">apo shuma  prej </w:t>
      </w:r>
      <w:r w:rsidR="00147382">
        <w:rPr>
          <w:rFonts w:cstheme="minorHAnsi"/>
          <w:b/>
          <w:color w:val="000000" w:themeColor="text1"/>
        </w:rPr>
        <w:t>7,056,309.97</w:t>
      </w:r>
      <w:r w:rsidR="00D14337" w:rsidRPr="00807DB8">
        <w:rPr>
          <w:rFonts w:cstheme="minorHAnsi"/>
          <w:b/>
          <w:color w:val="000000" w:themeColor="text1"/>
        </w:rPr>
        <w:t>€</w:t>
      </w:r>
      <w:r w:rsidRPr="00C13B25">
        <w:rPr>
          <w:rFonts w:cstheme="minorHAnsi"/>
          <w:color w:val="000000" w:themeColor="text1"/>
        </w:rPr>
        <w:t xml:space="preserve"> ndërsa krahasuar më periudhën e  njëjtë të vitit </w:t>
      </w:r>
      <w:r w:rsidR="00807DB8">
        <w:rPr>
          <w:rFonts w:cstheme="minorHAnsi"/>
          <w:color w:val="000000" w:themeColor="text1"/>
        </w:rPr>
        <w:t xml:space="preserve">paraprak  </w:t>
      </w:r>
      <w:r w:rsidR="003C1F2D" w:rsidRPr="00C13B25">
        <w:rPr>
          <w:rFonts w:cstheme="minorHAnsi"/>
          <w:color w:val="000000" w:themeColor="text1"/>
        </w:rPr>
        <w:t xml:space="preserve">kemi  </w:t>
      </w:r>
      <w:r w:rsidR="00C13B25" w:rsidRPr="00C13B25">
        <w:rPr>
          <w:rFonts w:cstheme="minorHAnsi"/>
          <w:color w:val="000000" w:themeColor="text1"/>
        </w:rPr>
        <w:t xml:space="preserve">shkallën e shpenzimit prej </w:t>
      </w:r>
      <w:r w:rsidR="00866D65">
        <w:rPr>
          <w:rFonts w:cstheme="minorHAnsi"/>
          <w:b/>
          <w:color w:val="000000" w:themeColor="text1"/>
        </w:rPr>
        <w:t>38.86</w:t>
      </w:r>
      <w:r w:rsidR="00C13B25" w:rsidRPr="00807DB8">
        <w:rPr>
          <w:rFonts w:cstheme="minorHAnsi"/>
          <w:b/>
          <w:color w:val="000000" w:themeColor="text1"/>
        </w:rPr>
        <w:t>%</w:t>
      </w:r>
      <w:r w:rsidR="00825D79">
        <w:rPr>
          <w:rFonts w:cstheme="minorHAnsi"/>
          <w:color w:val="000000" w:themeColor="text1"/>
        </w:rPr>
        <w:t xml:space="preserve"> </w:t>
      </w:r>
      <w:r w:rsidR="00866D65">
        <w:rPr>
          <w:rFonts w:cstheme="minorHAnsi"/>
          <w:color w:val="000000" w:themeColor="text1"/>
        </w:rPr>
        <w:t xml:space="preserve"> më shumë </w:t>
      </w:r>
      <w:r w:rsidR="00C13B25" w:rsidRPr="00C13B25">
        <w:rPr>
          <w:rFonts w:cstheme="minorHAnsi"/>
          <w:color w:val="000000" w:themeColor="text1"/>
        </w:rPr>
        <w:t xml:space="preserve">apo shumën </w:t>
      </w:r>
      <w:r w:rsidR="00866D65">
        <w:rPr>
          <w:rFonts w:cstheme="minorHAnsi"/>
          <w:color w:val="000000" w:themeColor="text1"/>
        </w:rPr>
        <w:t xml:space="preserve">të lartë </w:t>
      </w:r>
      <w:r w:rsidR="00C13B25" w:rsidRPr="00C13B25">
        <w:rPr>
          <w:rFonts w:cstheme="minorHAnsi"/>
          <w:color w:val="000000" w:themeColor="text1"/>
        </w:rPr>
        <w:t>prej</w:t>
      </w:r>
      <w:r w:rsidR="00866D65">
        <w:rPr>
          <w:rFonts w:cstheme="minorHAnsi"/>
          <w:color w:val="000000" w:themeColor="text1"/>
        </w:rPr>
        <w:t xml:space="preserve"> </w:t>
      </w:r>
      <w:r w:rsidR="00866D65">
        <w:rPr>
          <w:rFonts w:cstheme="minorHAnsi"/>
          <w:b/>
          <w:color w:val="000000" w:themeColor="text1"/>
        </w:rPr>
        <w:t>1,974,709.70</w:t>
      </w:r>
      <w:r w:rsidR="00C13B25" w:rsidRPr="00C549D1">
        <w:rPr>
          <w:rFonts w:cstheme="minorHAnsi"/>
          <w:b/>
          <w:color w:val="000000" w:themeColor="text1"/>
        </w:rPr>
        <w:t>€.</w:t>
      </w:r>
      <w:r w:rsidR="003C1F2D" w:rsidRPr="00C13B25">
        <w:rPr>
          <w:rFonts w:cstheme="minorHAnsi"/>
          <w:color w:val="000000" w:themeColor="text1"/>
        </w:rPr>
        <w:t xml:space="preserve"> </w:t>
      </w:r>
      <w:r w:rsidR="001B2F6B">
        <w:rPr>
          <w:rFonts w:cstheme="minorHAnsi"/>
          <w:color w:val="000000" w:themeColor="text1"/>
        </w:rPr>
        <w:t xml:space="preserve">  </w:t>
      </w:r>
    </w:p>
    <w:p w:rsidR="00F01400" w:rsidRDefault="00F01400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:rsidR="00DB7AFD" w:rsidRPr="00C764D1" w:rsidRDefault="00DB7AFD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:rsidR="00F01400" w:rsidRDefault="00147382" w:rsidP="0002569A">
      <w:pPr>
        <w:autoSpaceDE w:val="0"/>
        <w:autoSpaceDN w:val="0"/>
        <w:adjustRightInd w:val="0"/>
        <w:spacing w:after="0"/>
        <w:rPr>
          <w:rFonts w:cstheme="minorHAnsi"/>
          <w:noProof/>
          <w:color w:val="000000"/>
        </w:rPr>
      </w:pPr>
      <w:r w:rsidRPr="00147382">
        <w:rPr>
          <w:noProof/>
        </w:rPr>
        <w:drawing>
          <wp:inline distT="0" distB="0" distL="0" distR="0">
            <wp:extent cx="6857887" cy="2608028"/>
            <wp:effectExtent l="0" t="0" r="63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876" cy="26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57" w:rsidRDefault="00CB3057" w:rsidP="0002569A">
      <w:pPr>
        <w:autoSpaceDE w:val="0"/>
        <w:autoSpaceDN w:val="0"/>
        <w:adjustRightInd w:val="0"/>
        <w:spacing w:after="0"/>
        <w:rPr>
          <w:rFonts w:cstheme="minorHAnsi"/>
          <w:noProof/>
          <w:color w:val="000000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jc w:val="both"/>
        <w:rPr>
          <w:b/>
          <w:bCs/>
          <w:color w:val="000000" w:themeColor="text1"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jc w:val="both"/>
        <w:rPr>
          <w:b/>
          <w:bCs/>
          <w:color w:val="000000" w:themeColor="text1"/>
          <w:lang w:val="sq-AL"/>
        </w:rPr>
      </w:pPr>
    </w:p>
    <w:p w:rsidR="00247AE3" w:rsidRPr="006F1F9A" w:rsidRDefault="008A406D" w:rsidP="006F1F9A">
      <w:pPr>
        <w:tabs>
          <w:tab w:val="num" w:pos="450"/>
        </w:tabs>
        <w:spacing w:after="0" w:line="240" w:lineRule="auto"/>
        <w:jc w:val="both"/>
        <w:rPr>
          <w:b/>
          <w:bCs/>
          <w:color w:val="000000" w:themeColor="text1"/>
          <w:lang w:val="sq-AL"/>
        </w:rPr>
      </w:pPr>
      <w:r w:rsidRPr="006F1F9A">
        <w:rPr>
          <w:b/>
          <w:bCs/>
          <w:color w:val="000000" w:themeColor="text1"/>
          <w:lang w:val="sq-AL"/>
        </w:rPr>
        <w:t xml:space="preserve">Shkalla e realizimit  të </w:t>
      </w:r>
      <w:r w:rsidR="00247AE3" w:rsidRPr="006F1F9A">
        <w:rPr>
          <w:b/>
          <w:bCs/>
          <w:color w:val="000000" w:themeColor="text1"/>
          <w:lang w:val="sq-AL"/>
        </w:rPr>
        <w:t>K</w:t>
      </w:r>
      <w:r w:rsidR="002C16E3">
        <w:rPr>
          <w:b/>
          <w:bCs/>
          <w:color w:val="000000" w:themeColor="text1"/>
          <w:lang w:val="sq-AL"/>
        </w:rPr>
        <w:t xml:space="preserve">ategorive </w:t>
      </w:r>
      <w:r w:rsidR="00247AE3" w:rsidRPr="006F1F9A">
        <w:rPr>
          <w:b/>
          <w:bCs/>
          <w:color w:val="000000" w:themeColor="text1"/>
          <w:lang w:val="sq-AL"/>
        </w:rPr>
        <w:t>E</w:t>
      </w:r>
      <w:r w:rsidR="002C16E3">
        <w:rPr>
          <w:b/>
          <w:bCs/>
          <w:color w:val="000000" w:themeColor="text1"/>
          <w:lang w:val="sq-AL"/>
        </w:rPr>
        <w:t xml:space="preserve">konomike të Shpenzimeve </w:t>
      </w:r>
      <w:r w:rsidR="00247AE3" w:rsidRPr="006F1F9A">
        <w:rPr>
          <w:b/>
          <w:bCs/>
          <w:color w:val="000000" w:themeColor="text1"/>
          <w:lang w:val="sq-AL"/>
        </w:rPr>
        <w:t>në  raport me ndarjet buxhetore</w:t>
      </w:r>
      <w:r w:rsidR="002C16E3">
        <w:rPr>
          <w:b/>
          <w:bCs/>
          <w:color w:val="000000" w:themeColor="text1"/>
          <w:lang w:val="sq-AL"/>
        </w:rPr>
        <w:t xml:space="preserve">  të vitit 2023</w:t>
      </w:r>
      <w:r w:rsidR="00247AE3" w:rsidRPr="006F1F9A">
        <w:rPr>
          <w:b/>
          <w:bCs/>
          <w:color w:val="000000" w:themeColor="text1"/>
          <w:lang w:val="sq-AL"/>
        </w:rPr>
        <w:t xml:space="preserve"> </w:t>
      </w:r>
      <w:r w:rsidRPr="006F1F9A">
        <w:rPr>
          <w:b/>
          <w:bCs/>
          <w:color w:val="000000" w:themeColor="text1"/>
          <w:lang w:val="sq-AL"/>
        </w:rPr>
        <w:t xml:space="preserve"> </w:t>
      </w:r>
      <w:r w:rsidR="00247AE3" w:rsidRPr="006F1F9A">
        <w:rPr>
          <w:b/>
          <w:bCs/>
          <w:color w:val="000000" w:themeColor="text1"/>
          <w:lang w:val="sq-AL"/>
        </w:rPr>
        <w:t>është si vijon:</w:t>
      </w:r>
    </w:p>
    <w:p w:rsidR="00247AE3" w:rsidRPr="00EC1A84" w:rsidRDefault="00247AE3" w:rsidP="00EC1A8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 w:rsidRPr="00247AE3">
        <w:rPr>
          <w:bCs/>
          <w:color w:val="000000" w:themeColor="text1"/>
          <w:lang w:val="sq-AL"/>
        </w:rPr>
        <w:t xml:space="preserve">Pagat  dhe Mëditjet  </w:t>
      </w:r>
      <w:r w:rsidR="00045933">
        <w:rPr>
          <w:bCs/>
          <w:color w:val="000000" w:themeColor="text1"/>
          <w:lang w:val="sq-AL"/>
        </w:rPr>
        <w:tab/>
      </w:r>
      <w:r w:rsidRPr="00247AE3">
        <w:rPr>
          <w:bCs/>
          <w:color w:val="000000" w:themeColor="text1"/>
          <w:lang w:val="sq-AL"/>
        </w:rPr>
        <w:t xml:space="preserve"> </w:t>
      </w:r>
      <w:r w:rsidR="00045933">
        <w:rPr>
          <w:bCs/>
          <w:color w:val="000000" w:themeColor="text1"/>
          <w:lang w:val="sq-AL"/>
        </w:rPr>
        <w:tab/>
      </w:r>
      <w:r w:rsidR="009D52A2">
        <w:rPr>
          <w:bCs/>
          <w:color w:val="000000" w:themeColor="text1"/>
          <w:lang w:val="sq-AL"/>
        </w:rPr>
        <w:t>81.44</w:t>
      </w:r>
      <w:r w:rsidRPr="00247AE3">
        <w:rPr>
          <w:bCs/>
          <w:color w:val="000000" w:themeColor="text1"/>
          <w:lang w:val="sq-AL"/>
        </w:rPr>
        <w:t xml:space="preserve"> %,</w:t>
      </w:r>
      <w:r w:rsidRPr="00EC1A84">
        <w:rPr>
          <w:bCs/>
          <w:color w:val="000000" w:themeColor="text1"/>
          <w:lang w:val="sq-AL"/>
        </w:rPr>
        <w:t xml:space="preserve"> </w:t>
      </w:r>
      <w:r w:rsidR="00045933" w:rsidRPr="00EC1A84">
        <w:rPr>
          <w:bCs/>
          <w:color w:val="000000" w:themeColor="text1"/>
          <w:lang w:val="sq-AL"/>
        </w:rPr>
        <w:tab/>
      </w:r>
      <w:r w:rsidR="00045933" w:rsidRPr="00EC1A84">
        <w:rPr>
          <w:bCs/>
          <w:color w:val="000000" w:themeColor="text1"/>
          <w:lang w:val="sq-AL"/>
        </w:rPr>
        <w:tab/>
      </w:r>
    </w:p>
    <w:p w:rsidR="00247AE3" w:rsidRDefault="00247AE3" w:rsidP="00247A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 w:rsidRPr="00247AE3">
        <w:rPr>
          <w:bCs/>
          <w:color w:val="000000" w:themeColor="text1"/>
          <w:lang w:val="sq-AL"/>
        </w:rPr>
        <w:t xml:space="preserve">Mallra  dhe  Shërbime  </w:t>
      </w:r>
      <w:r w:rsidR="00045933">
        <w:rPr>
          <w:bCs/>
          <w:color w:val="000000" w:themeColor="text1"/>
          <w:lang w:val="sq-AL"/>
        </w:rPr>
        <w:tab/>
      </w:r>
      <w:r w:rsidR="00045933">
        <w:rPr>
          <w:bCs/>
          <w:color w:val="000000" w:themeColor="text1"/>
          <w:lang w:val="sq-AL"/>
        </w:rPr>
        <w:tab/>
      </w:r>
      <w:r w:rsidR="009D52A2">
        <w:rPr>
          <w:bCs/>
          <w:color w:val="000000" w:themeColor="text1"/>
          <w:lang w:val="sq-AL"/>
        </w:rPr>
        <w:t>50.72</w:t>
      </w:r>
      <w:r w:rsidRPr="00247AE3">
        <w:rPr>
          <w:bCs/>
          <w:color w:val="000000" w:themeColor="text1"/>
          <w:lang w:val="sq-AL"/>
        </w:rPr>
        <w:t xml:space="preserve"> %,</w:t>
      </w:r>
    </w:p>
    <w:p w:rsidR="00EC1A84" w:rsidRPr="00247AE3" w:rsidRDefault="002740BF" w:rsidP="00247A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 xml:space="preserve">Shpenzime </w:t>
      </w:r>
      <w:r w:rsidR="009D52A2">
        <w:rPr>
          <w:bCs/>
          <w:color w:val="000000" w:themeColor="text1"/>
          <w:lang w:val="sq-AL"/>
        </w:rPr>
        <w:t>Komunale</w:t>
      </w:r>
      <w:r w:rsidR="009D52A2">
        <w:rPr>
          <w:bCs/>
          <w:color w:val="000000" w:themeColor="text1"/>
          <w:lang w:val="sq-AL"/>
        </w:rPr>
        <w:tab/>
      </w:r>
      <w:r w:rsidR="009D52A2">
        <w:rPr>
          <w:bCs/>
          <w:color w:val="000000" w:themeColor="text1"/>
          <w:lang w:val="sq-AL"/>
        </w:rPr>
        <w:tab/>
        <w:t>37.74</w:t>
      </w:r>
      <w:r w:rsidR="00EC1A84">
        <w:rPr>
          <w:bCs/>
          <w:color w:val="000000" w:themeColor="text1"/>
          <w:lang w:val="sq-AL"/>
        </w:rPr>
        <w:t xml:space="preserve"> %</w:t>
      </w:r>
      <w:r w:rsidR="00A62975">
        <w:rPr>
          <w:bCs/>
          <w:color w:val="000000" w:themeColor="text1"/>
          <w:lang w:val="sq-AL"/>
        </w:rPr>
        <w:t>,</w:t>
      </w:r>
    </w:p>
    <w:p w:rsidR="00247AE3" w:rsidRPr="00247AE3" w:rsidRDefault="00247AE3" w:rsidP="00247A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 w:rsidRPr="00247AE3">
        <w:rPr>
          <w:bCs/>
          <w:color w:val="000000" w:themeColor="text1"/>
          <w:lang w:val="sq-AL"/>
        </w:rPr>
        <w:t xml:space="preserve">Subvencione  dhe  Transfere  </w:t>
      </w:r>
      <w:r w:rsidR="00045933">
        <w:rPr>
          <w:bCs/>
          <w:color w:val="000000" w:themeColor="text1"/>
          <w:lang w:val="sq-AL"/>
        </w:rPr>
        <w:tab/>
      </w:r>
      <w:r w:rsidR="009D52A2">
        <w:rPr>
          <w:bCs/>
          <w:color w:val="000000" w:themeColor="text1"/>
          <w:lang w:val="sq-AL"/>
        </w:rPr>
        <w:t>45.30</w:t>
      </w:r>
      <w:r w:rsidRPr="00247AE3">
        <w:rPr>
          <w:bCs/>
          <w:color w:val="000000" w:themeColor="text1"/>
          <w:lang w:val="sq-AL"/>
        </w:rPr>
        <w:t xml:space="preserve"> %  dhe </w:t>
      </w:r>
    </w:p>
    <w:p w:rsidR="00247AE3" w:rsidRDefault="00005861" w:rsidP="00247A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>Shpenzime  Kapitale</w:t>
      </w:r>
      <w:r w:rsidR="00247AE3" w:rsidRPr="00247AE3">
        <w:rPr>
          <w:bCs/>
          <w:color w:val="000000" w:themeColor="text1"/>
          <w:lang w:val="sq-AL"/>
        </w:rPr>
        <w:t xml:space="preserve">  </w:t>
      </w:r>
      <w:r w:rsidR="009D52A2">
        <w:rPr>
          <w:bCs/>
          <w:color w:val="000000" w:themeColor="text1"/>
          <w:lang w:val="sq-AL"/>
        </w:rPr>
        <w:tab/>
      </w:r>
      <w:r w:rsidR="009D52A2">
        <w:rPr>
          <w:bCs/>
          <w:color w:val="000000" w:themeColor="text1"/>
          <w:lang w:val="sq-AL"/>
        </w:rPr>
        <w:tab/>
        <w:t>42.12</w:t>
      </w:r>
      <w:r w:rsidR="00247AE3" w:rsidRPr="00247AE3">
        <w:rPr>
          <w:bCs/>
          <w:color w:val="000000" w:themeColor="text1"/>
          <w:lang w:val="sq-AL"/>
        </w:rPr>
        <w:t xml:space="preserve">%. </w:t>
      </w:r>
    </w:p>
    <w:p w:rsidR="00DE43A8" w:rsidRPr="00446434" w:rsidRDefault="00DE43A8" w:rsidP="00446434">
      <w:pPr>
        <w:spacing w:after="0" w:line="240" w:lineRule="auto"/>
        <w:ind w:left="720"/>
        <w:jc w:val="both"/>
        <w:rPr>
          <w:bCs/>
          <w:color w:val="000000" w:themeColor="text1"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D64B14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CB3057" w:rsidRDefault="00EA162D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  <w:r>
        <w:rPr>
          <w:b/>
          <w:bCs/>
          <w:lang w:val="sq-AL"/>
        </w:rPr>
        <w:lastRenderedPageBreak/>
        <w:t xml:space="preserve">Tabela në  vijim </w:t>
      </w:r>
      <w:r w:rsidR="00CB3057" w:rsidRPr="00EA162D">
        <w:rPr>
          <w:b/>
          <w:bCs/>
          <w:lang w:val="sq-AL"/>
        </w:rPr>
        <w:t>paraqet  realizimin e shpenzimeve  sipas  Programeve Buxhetore  dhe</w:t>
      </w:r>
      <w:r w:rsidR="00D64B14">
        <w:rPr>
          <w:b/>
          <w:bCs/>
          <w:lang w:val="sq-AL"/>
        </w:rPr>
        <w:t xml:space="preserve"> atë sipas Kategorive </w:t>
      </w:r>
      <w:r>
        <w:rPr>
          <w:b/>
          <w:bCs/>
          <w:lang w:val="sq-AL"/>
        </w:rPr>
        <w:t xml:space="preserve"> Ekonomike</w:t>
      </w:r>
      <w:r w:rsidR="00D64B14">
        <w:rPr>
          <w:b/>
          <w:bCs/>
          <w:lang w:val="sq-AL"/>
        </w:rPr>
        <w:t xml:space="preserve"> të Shpenzimeve</w:t>
      </w:r>
      <w:r>
        <w:rPr>
          <w:b/>
          <w:bCs/>
          <w:lang w:val="sq-AL"/>
        </w:rPr>
        <w:t>:</w:t>
      </w:r>
    </w:p>
    <w:p w:rsidR="00D64B14" w:rsidRPr="00EA162D" w:rsidRDefault="00D64B14" w:rsidP="006F1F9A">
      <w:pPr>
        <w:tabs>
          <w:tab w:val="num" w:pos="450"/>
        </w:tabs>
        <w:spacing w:after="0" w:line="240" w:lineRule="auto"/>
        <w:rPr>
          <w:b/>
          <w:bCs/>
          <w:lang w:val="sq-AL"/>
        </w:rPr>
      </w:pPr>
    </w:p>
    <w:p w:rsidR="00CB3057" w:rsidRDefault="00D64B14" w:rsidP="00EC6E27">
      <w:pPr>
        <w:tabs>
          <w:tab w:val="num" w:pos="450"/>
        </w:tabs>
        <w:spacing w:after="0" w:line="240" w:lineRule="auto"/>
        <w:jc w:val="both"/>
        <w:rPr>
          <w:bCs/>
          <w:lang w:val="sq-AL"/>
        </w:rPr>
      </w:pPr>
      <w:r w:rsidRPr="00D64B14">
        <w:rPr>
          <w:noProof/>
        </w:rPr>
        <w:drawing>
          <wp:inline distT="0" distB="0" distL="0" distR="0">
            <wp:extent cx="6858000" cy="35853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8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76C" w:rsidRDefault="005C776C" w:rsidP="00CB3057">
      <w:pPr>
        <w:tabs>
          <w:tab w:val="num" w:pos="450"/>
        </w:tabs>
        <w:spacing w:after="0" w:line="240" w:lineRule="auto"/>
        <w:jc w:val="both"/>
        <w:rPr>
          <w:bCs/>
          <w:lang w:val="sq-AL"/>
        </w:rPr>
      </w:pPr>
    </w:p>
    <w:p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247AE3" w:rsidRDefault="006A056E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  <w:r>
        <w:rPr>
          <w:b/>
          <w:bCs/>
          <w:lang w:val="sq-AL"/>
        </w:rPr>
        <w:t xml:space="preserve">      </w:t>
      </w:r>
    </w:p>
    <w:p w:rsidR="00247AE3" w:rsidRPr="00D12440" w:rsidRDefault="00941A5D" w:rsidP="008C4B1C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b/>
          <w:bCs/>
          <w:color w:val="000000" w:themeColor="text1"/>
          <w:lang w:val="sq-AL"/>
        </w:rPr>
      </w:pPr>
      <w:r>
        <w:rPr>
          <w:b/>
          <w:bCs/>
          <w:color w:val="000000" w:themeColor="text1"/>
          <w:lang w:val="sq-AL"/>
        </w:rPr>
        <w:t>Pjesëmarrja  e  ‘KE</w:t>
      </w:r>
      <w:r w:rsidR="00DB1A92">
        <w:rPr>
          <w:b/>
          <w:bCs/>
          <w:color w:val="000000" w:themeColor="text1"/>
          <w:lang w:val="sq-AL"/>
        </w:rPr>
        <w:t>SH</w:t>
      </w:r>
      <w:r w:rsidR="00247AE3" w:rsidRPr="00D12440">
        <w:rPr>
          <w:b/>
          <w:bCs/>
          <w:color w:val="000000" w:themeColor="text1"/>
          <w:lang w:val="sq-AL"/>
        </w:rPr>
        <w:t>’  në  shpenzimin  total  per periudhën  raportuese:</w:t>
      </w:r>
    </w:p>
    <w:p w:rsidR="00247AE3" w:rsidRPr="00D12440" w:rsidRDefault="005C7551" w:rsidP="009D23D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 xml:space="preserve">Pagat  dhe Mëditjet   </w:t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</w:r>
      <w:r w:rsidR="00676D96">
        <w:rPr>
          <w:bCs/>
          <w:color w:val="000000" w:themeColor="text1"/>
          <w:lang w:val="sq-AL"/>
        </w:rPr>
        <w:t>64.95</w:t>
      </w:r>
      <w:r w:rsidR="00247AE3" w:rsidRPr="00D12440">
        <w:rPr>
          <w:bCs/>
          <w:color w:val="000000" w:themeColor="text1"/>
          <w:lang w:val="sq-AL"/>
        </w:rPr>
        <w:t xml:space="preserve"> %,</w:t>
      </w:r>
    </w:p>
    <w:p w:rsidR="00247AE3" w:rsidRPr="005E12E5" w:rsidRDefault="006F1F9A" w:rsidP="005E12E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 xml:space="preserve">Mallra  dhe  Shërbime  </w:t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</w:r>
      <w:r w:rsidR="00676D96">
        <w:rPr>
          <w:bCs/>
          <w:color w:val="000000" w:themeColor="text1"/>
          <w:lang w:val="sq-AL"/>
        </w:rPr>
        <w:t>10.79</w:t>
      </w:r>
      <w:r w:rsidR="00247AE3" w:rsidRPr="00D12440">
        <w:rPr>
          <w:bCs/>
          <w:color w:val="000000" w:themeColor="text1"/>
          <w:lang w:val="sq-AL"/>
        </w:rPr>
        <w:t xml:space="preserve"> %,</w:t>
      </w:r>
      <w:r w:rsidR="005C7551" w:rsidRPr="005E12E5">
        <w:rPr>
          <w:bCs/>
          <w:color w:val="000000" w:themeColor="text1"/>
          <w:lang w:val="sq-AL"/>
        </w:rPr>
        <w:t xml:space="preserve"> </w:t>
      </w:r>
    </w:p>
    <w:p w:rsidR="009D23D8" w:rsidRDefault="005C7551" w:rsidP="009D23D8">
      <w:pPr>
        <w:pStyle w:val="ListParagraph"/>
        <w:numPr>
          <w:ilvl w:val="0"/>
          <w:numId w:val="22"/>
        </w:numPr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 xml:space="preserve">Shpenzime  Komunale  </w:t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  <w:t xml:space="preserve">  </w:t>
      </w:r>
      <w:r w:rsidR="00676D96">
        <w:rPr>
          <w:bCs/>
          <w:color w:val="000000" w:themeColor="text1"/>
          <w:lang w:val="sq-AL"/>
        </w:rPr>
        <w:t xml:space="preserve"> 1.12</w:t>
      </w:r>
      <w:r w:rsidR="005E12E5">
        <w:rPr>
          <w:bCs/>
          <w:color w:val="000000" w:themeColor="text1"/>
          <w:lang w:val="sq-AL"/>
        </w:rPr>
        <w:t xml:space="preserve"> %  </w:t>
      </w:r>
    </w:p>
    <w:p w:rsidR="005E12E5" w:rsidRPr="00D12440" w:rsidRDefault="005E12E5" w:rsidP="009D23D8">
      <w:pPr>
        <w:pStyle w:val="ListParagraph"/>
        <w:numPr>
          <w:ilvl w:val="0"/>
          <w:numId w:val="22"/>
        </w:numPr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>Subvencionet dhe Trans</w:t>
      </w:r>
      <w:r w:rsidR="00676D96">
        <w:rPr>
          <w:bCs/>
          <w:color w:val="000000" w:themeColor="text1"/>
          <w:lang w:val="sq-AL"/>
        </w:rPr>
        <w:t>feret                       2.67</w:t>
      </w:r>
      <w:r>
        <w:rPr>
          <w:bCs/>
          <w:color w:val="000000" w:themeColor="text1"/>
          <w:lang w:val="sq-AL"/>
        </w:rPr>
        <w:t xml:space="preserve"> %</w:t>
      </w:r>
    </w:p>
    <w:p w:rsidR="00C91DAC" w:rsidRDefault="00676D96" w:rsidP="00D12440">
      <w:pPr>
        <w:pStyle w:val="ListParagraph"/>
        <w:numPr>
          <w:ilvl w:val="0"/>
          <w:numId w:val="22"/>
        </w:numPr>
        <w:rPr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 xml:space="preserve">Shpenzime  Kapitale   </w:t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</w:r>
      <w:r>
        <w:rPr>
          <w:bCs/>
          <w:color w:val="000000" w:themeColor="text1"/>
          <w:lang w:val="sq-AL"/>
        </w:rPr>
        <w:tab/>
        <w:t>20.46</w:t>
      </w:r>
      <w:r w:rsidR="009D23D8" w:rsidRPr="00D12440">
        <w:rPr>
          <w:bCs/>
          <w:color w:val="000000" w:themeColor="text1"/>
          <w:lang w:val="sq-AL"/>
        </w:rPr>
        <w:t xml:space="preserve"> %. </w:t>
      </w:r>
    </w:p>
    <w:p w:rsidR="008C4B1C" w:rsidRPr="00D12440" w:rsidRDefault="008C4B1C" w:rsidP="008C4B1C">
      <w:pPr>
        <w:pStyle w:val="ListParagraph"/>
        <w:ind w:left="1440"/>
        <w:rPr>
          <w:bCs/>
          <w:color w:val="000000" w:themeColor="text1"/>
          <w:lang w:val="sq-AL"/>
        </w:rPr>
      </w:pPr>
    </w:p>
    <w:p w:rsidR="00D12440" w:rsidRPr="008C4B1C" w:rsidRDefault="00C91DAC" w:rsidP="008C4B1C">
      <w:pPr>
        <w:pStyle w:val="ListParagraph"/>
        <w:numPr>
          <w:ilvl w:val="0"/>
          <w:numId w:val="44"/>
        </w:numPr>
        <w:tabs>
          <w:tab w:val="num" w:pos="450"/>
        </w:tabs>
        <w:spacing w:after="0" w:line="240" w:lineRule="auto"/>
        <w:rPr>
          <w:b/>
          <w:bCs/>
          <w:color w:val="000000" w:themeColor="text1"/>
          <w:lang w:val="sq-AL"/>
        </w:rPr>
      </w:pPr>
      <w:r w:rsidRPr="008C4B1C">
        <w:rPr>
          <w:b/>
          <w:bCs/>
          <w:color w:val="000000" w:themeColor="text1"/>
          <w:lang w:val="sq-AL"/>
        </w:rPr>
        <w:t>Pje</w:t>
      </w:r>
      <w:r w:rsidR="00636303" w:rsidRPr="008C4B1C">
        <w:rPr>
          <w:b/>
          <w:bCs/>
          <w:color w:val="000000" w:themeColor="text1"/>
          <w:lang w:val="sq-AL"/>
        </w:rPr>
        <w:t xml:space="preserve">sëmarrja në shpenzimin total  sipas </w:t>
      </w:r>
      <w:r w:rsidRPr="008C4B1C">
        <w:rPr>
          <w:b/>
          <w:bCs/>
          <w:color w:val="000000" w:themeColor="text1"/>
          <w:lang w:val="sq-AL"/>
        </w:rPr>
        <w:t xml:space="preserve"> Programeve  Buxhetore:</w:t>
      </w:r>
    </w:p>
    <w:p w:rsidR="00C91DAC" w:rsidRPr="00D12440" w:rsidRDefault="00E81484" w:rsidP="00D1244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bCs/>
          <w:color w:val="000000" w:themeColor="text1"/>
          <w:lang w:val="sq-AL"/>
        </w:rPr>
      </w:pPr>
      <w:r>
        <w:rPr>
          <w:bCs/>
          <w:color w:val="000000" w:themeColor="text1"/>
          <w:lang w:val="sq-AL"/>
        </w:rPr>
        <w:t xml:space="preserve">Arsimi                         </w:t>
      </w:r>
      <w:r w:rsidR="00D12440" w:rsidRPr="00D12440">
        <w:rPr>
          <w:bCs/>
          <w:color w:val="000000" w:themeColor="text1"/>
          <w:lang w:val="sq-AL"/>
        </w:rPr>
        <w:t xml:space="preserve"> </w:t>
      </w:r>
      <w:r w:rsidR="00D12440">
        <w:rPr>
          <w:bCs/>
          <w:color w:val="000000" w:themeColor="text1"/>
          <w:lang w:val="sq-AL"/>
        </w:rPr>
        <w:tab/>
      </w:r>
      <w:r w:rsidR="00D12440">
        <w:rPr>
          <w:bCs/>
          <w:color w:val="000000" w:themeColor="text1"/>
          <w:lang w:val="sq-AL"/>
        </w:rPr>
        <w:tab/>
      </w:r>
      <w:r w:rsidR="00D12440">
        <w:rPr>
          <w:bCs/>
          <w:color w:val="000000" w:themeColor="text1"/>
          <w:lang w:val="sq-AL"/>
        </w:rPr>
        <w:tab/>
      </w:r>
      <w:r w:rsidR="00B24CF4">
        <w:rPr>
          <w:bCs/>
          <w:color w:val="000000" w:themeColor="text1"/>
          <w:lang w:val="sq-AL"/>
        </w:rPr>
        <w:t>50.13</w:t>
      </w:r>
      <w:r w:rsidR="00C91DAC" w:rsidRPr="00D12440">
        <w:rPr>
          <w:bCs/>
          <w:color w:val="000000" w:themeColor="text1"/>
          <w:lang w:val="sq-AL"/>
        </w:rPr>
        <w:t>% ,</w:t>
      </w:r>
    </w:p>
    <w:p w:rsidR="00C91DAC" w:rsidRPr="00D12440" w:rsidRDefault="00C91DAC" w:rsidP="00C91DA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bCs/>
          <w:color w:val="000000" w:themeColor="text1"/>
          <w:lang w:val="sq-AL"/>
        </w:rPr>
      </w:pPr>
      <w:r w:rsidRPr="00D12440">
        <w:rPr>
          <w:bCs/>
          <w:color w:val="000000" w:themeColor="text1"/>
          <w:lang w:val="sq-AL"/>
        </w:rPr>
        <w:t>Sh</w:t>
      </w:r>
      <w:r w:rsidR="00D12440" w:rsidRPr="00D12440">
        <w:rPr>
          <w:bCs/>
          <w:color w:val="000000" w:themeColor="text1"/>
          <w:lang w:val="sq-AL"/>
        </w:rPr>
        <w:t xml:space="preserve">ëndetësia  dhe  M.Sociale  </w:t>
      </w:r>
      <w:r w:rsidR="00D12440">
        <w:rPr>
          <w:bCs/>
          <w:color w:val="000000" w:themeColor="text1"/>
          <w:lang w:val="sq-AL"/>
        </w:rPr>
        <w:tab/>
      </w:r>
      <w:r w:rsidR="00D12440">
        <w:rPr>
          <w:bCs/>
          <w:color w:val="000000" w:themeColor="text1"/>
          <w:lang w:val="sq-AL"/>
        </w:rPr>
        <w:tab/>
      </w:r>
      <w:r w:rsidR="00B24CF4">
        <w:rPr>
          <w:bCs/>
          <w:color w:val="000000" w:themeColor="text1"/>
          <w:lang w:val="sq-AL"/>
        </w:rPr>
        <w:t>13.09</w:t>
      </w:r>
      <w:r w:rsidRPr="00D12440">
        <w:rPr>
          <w:bCs/>
          <w:color w:val="000000" w:themeColor="text1"/>
          <w:lang w:val="sq-AL"/>
        </w:rPr>
        <w:t xml:space="preserve">% </w:t>
      </w:r>
      <w:r w:rsidR="00D12440" w:rsidRPr="00D12440">
        <w:rPr>
          <w:bCs/>
          <w:color w:val="000000" w:themeColor="text1"/>
          <w:lang w:val="sq-AL"/>
        </w:rPr>
        <w:t xml:space="preserve">dhe </w:t>
      </w:r>
    </w:p>
    <w:p w:rsidR="00C91DAC" w:rsidRPr="00D12440" w:rsidRDefault="00C91DAC" w:rsidP="005C776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bCs/>
          <w:color w:val="000000" w:themeColor="text1"/>
          <w:lang w:val="sq-AL"/>
        </w:rPr>
      </w:pPr>
      <w:r w:rsidRPr="00D12440">
        <w:rPr>
          <w:bCs/>
          <w:color w:val="000000" w:themeColor="text1"/>
          <w:lang w:val="sq-AL"/>
        </w:rPr>
        <w:t>Administ</w:t>
      </w:r>
      <w:r w:rsidR="00D12440" w:rsidRPr="00D12440">
        <w:rPr>
          <w:bCs/>
          <w:color w:val="000000" w:themeColor="text1"/>
          <w:lang w:val="sq-AL"/>
        </w:rPr>
        <w:t xml:space="preserve">rata Komunale  </w:t>
      </w:r>
      <w:r w:rsidR="00D12440">
        <w:rPr>
          <w:bCs/>
          <w:color w:val="000000" w:themeColor="text1"/>
          <w:lang w:val="sq-AL"/>
        </w:rPr>
        <w:tab/>
      </w:r>
      <w:r w:rsidR="00D12440">
        <w:rPr>
          <w:bCs/>
          <w:color w:val="000000" w:themeColor="text1"/>
          <w:lang w:val="sq-AL"/>
        </w:rPr>
        <w:tab/>
      </w:r>
      <w:r w:rsidR="00D12440">
        <w:rPr>
          <w:bCs/>
          <w:color w:val="000000" w:themeColor="text1"/>
          <w:lang w:val="sq-AL"/>
        </w:rPr>
        <w:tab/>
      </w:r>
      <w:r w:rsidR="00B24CF4">
        <w:rPr>
          <w:bCs/>
          <w:color w:val="000000" w:themeColor="text1"/>
          <w:lang w:val="sq-AL"/>
        </w:rPr>
        <w:t>36.78</w:t>
      </w:r>
      <w:r w:rsidRPr="00D12440">
        <w:rPr>
          <w:bCs/>
          <w:color w:val="000000" w:themeColor="text1"/>
          <w:lang w:val="sq-AL"/>
        </w:rPr>
        <w:t xml:space="preserve">%. </w:t>
      </w:r>
    </w:p>
    <w:p w:rsidR="00D12440" w:rsidRPr="00D12440" w:rsidRDefault="00D12440" w:rsidP="00D12440">
      <w:pPr>
        <w:pStyle w:val="ListParagraph"/>
        <w:spacing w:after="0" w:line="240" w:lineRule="auto"/>
        <w:ind w:left="1080"/>
        <w:jc w:val="both"/>
        <w:rPr>
          <w:b/>
          <w:bCs/>
          <w:color w:val="000000" w:themeColor="text1"/>
          <w:lang w:val="sq-AL"/>
        </w:rPr>
      </w:pPr>
    </w:p>
    <w:p w:rsidR="000D1877" w:rsidRPr="00F02851" w:rsidRDefault="000D1877">
      <w:pPr>
        <w:rPr>
          <w:b/>
        </w:rPr>
      </w:pPr>
    </w:p>
    <w:p w:rsidR="00F02851" w:rsidRDefault="00F02851">
      <w:pPr>
        <w:sectPr w:rsidR="00F02851" w:rsidSect="00D93B44">
          <w:footerReference w:type="default" r:id="rId16"/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E07D0D" w:rsidRDefault="00B24CF4">
      <w:r w:rsidRPr="00B24CF4">
        <w:lastRenderedPageBreak/>
        <w:drawing>
          <wp:inline distT="0" distB="0" distL="0" distR="0">
            <wp:extent cx="9144000" cy="7112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04" w:rsidRPr="00E07D0D" w:rsidRDefault="00700604" w:rsidP="00E07D0D">
      <w:pPr>
        <w:sectPr w:rsidR="00700604" w:rsidRPr="00E07D0D" w:rsidSect="00F02851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6B6B81" w:rsidRDefault="006B6B81" w:rsidP="006B6B81"/>
    <w:p w:rsidR="006B6B81" w:rsidRDefault="001D52F7" w:rsidP="006B6B81">
      <w:r w:rsidRPr="001D52F7">
        <w:drawing>
          <wp:inline distT="0" distB="0" distL="0" distR="0">
            <wp:extent cx="6858000" cy="2031332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3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81" w:rsidRDefault="006B6B81" w:rsidP="006B6B81">
      <w:pPr>
        <w:tabs>
          <w:tab w:val="left" w:pos="664"/>
        </w:tabs>
      </w:pPr>
      <w:r>
        <w:tab/>
      </w:r>
    </w:p>
    <w:p w:rsidR="006B6B81" w:rsidRDefault="006B6B81" w:rsidP="006B6B81">
      <w:pPr>
        <w:tabs>
          <w:tab w:val="left" w:pos="664"/>
        </w:tabs>
      </w:pPr>
    </w:p>
    <w:p w:rsidR="001D52F7" w:rsidRDefault="006C6E70" w:rsidP="006B6B81">
      <w:pPr>
        <w:tabs>
          <w:tab w:val="left" w:pos="664"/>
        </w:tabs>
      </w:pPr>
      <w:r w:rsidRPr="006C6E70">
        <w:drawing>
          <wp:inline distT="0" distB="0" distL="0" distR="0">
            <wp:extent cx="6858000" cy="551464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1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70" w:rsidRDefault="006C6E70" w:rsidP="006B6B81">
      <w:pPr>
        <w:tabs>
          <w:tab w:val="left" w:pos="664"/>
        </w:tabs>
      </w:pPr>
    </w:p>
    <w:p w:rsidR="006C6E70" w:rsidRDefault="006C6E70" w:rsidP="006B6B81">
      <w:pPr>
        <w:tabs>
          <w:tab w:val="left" w:pos="664"/>
        </w:tabs>
      </w:pPr>
      <w:r w:rsidRPr="006C6E70">
        <w:lastRenderedPageBreak/>
        <w:drawing>
          <wp:inline distT="0" distB="0" distL="0" distR="0">
            <wp:extent cx="6858000" cy="7653649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65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70" w:rsidRDefault="006C6E70" w:rsidP="006B6B81">
      <w:pPr>
        <w:tabs>
          <w:tab w:val="left" w:pos="664"/>
        </w:tabs>
      </w:pPr>
    </w:p>
    <w:p w:rsidR="006C6E70" w:rsidRDefault="006C6E70" w:rsidP="006B6B81">
      <w:pPr>
        <w:tabs>
          <w:tab w:val="left" w:pos="664"/>
        </w:tabs>
      </w:pPr>
    </w:p>
    <w:p w:rsidR="006C6E70" w:rsidRDefault="006C6E70" w:rsidP="006B6B81">
      <w:pPr>
        <w:tabs>
          <w:tab w:val="left" w:pos="664"/>
        </w:tabs>
      </w:pPr>
    </w:p>
    <w:p w:rsidR="001D52F7" w:rsidRDefault="001D52F7" w:rsidP="006B6B81">
      <w:pPr>
        <w:tabs>
          <w:tab w:val="left" w:pos="664"/>
        </w:tabs>
      </w:pPr>
    </w:p>
    <w:p w:rsidR="001D52F7" w:rsidRDefault="001D52F7" w:rsidP="006B6B81">
      <w:pPr>
        <w:tabs>
          <w:tab w:val="left" w:pos="664"/>
        </w:tabs>
      </w:pPr>
    </w:p>
    <w:p w:rsidR="00824CFE" w:rsidRPr="00824CFE" w:rsidRDefault="00824CFE" w:rsidP="00824CFE">
      <w:pPr>
        <w:tabs>
          <w:tab w:val="left" w:pos="664"/>
        </w:tabs>
      </w:pPr>
      <w:r w:rsidRPr="00824CFE">
        <w:lastRenderedPageBreak/>
        <w:drawing>
          <wp:inline distT="0" distB="0" distL="0" distR="0">
            <wp:extent cx="6857365" cy="8539701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35" cy="854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4CFE" w:rsidRPr="006B6B81" w:rsidRDefault="00824CFE" w:rsidP="006B6B81">
      <w:pPr>
        <w:tabs>
          <w:tab w:val="left" w:pos="664"/>
        </w:tabs>
        <w:sectPr w:rsidR="00824CFE" w:rsidRPr="006B6B81" w:rsidSect="00F02851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 w:rsidRPr="00824CFE">
        <w:lastRenderedPageBreak/>
        <w:drawing>
          <wp:inline distT="0" distB="0" distL="0" distR="0">
            <wp:extent cx="6829691" cy="8905461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286" cy="891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2E" w:rsidRDefault="00CE2A2E"/>
    <w:p w:rsidR="003117BD" w:rsidRDefault="003117BD">
      <w:pPr>
        <w:rPr>
          <w:noProof/>
        </w:rPr>
      </w:pPr>
    </w:p>
    <w:p w:rsidR="006B6B81" w:rsidRDefault="006B6B81"/>
    <w:p w:rsidR="00EB4675" w:rsidRDefault="00EB4675"/>
    <w:p w:rsidR="002353CF" w:rsidRDefault="002353CF">
      <w:pPr>
        <w:rPr>
          <w:noProof/>
        </w:rPr>
      </w:pPr>
    </w:p>
    <w:p w:rsidR="006B6B81" w:rsidRDefault="006B6B81"/>
    <w:p w:rsidR="009021AB" w:rsidRDefault="009021AB"/>
    <w:p w:rsidR="009021AB" w:rsidRDefault="009021AB"/>
    <w:p w:rsidR="009021AB" w:rsidRDefault="009021AB">
      <w:pPr>
        <w:rPr>
          <w:noProof/>
        </w:rPr>
      </w:pPr>
    </w:p>
    <w:p w:rsidR="006B6B81" w:rsidRDefault="006B6B81"/>
    <w:p w:rsidR="0066194A" w:rsidRDefault="0066194A"/>
    <w:p w:rsidR="0050527D" w:rsidRDefault="0050527D"/>
    <w:p w:rsidR="0050527D" w:rsidRDefault="0050527D"/>
    <w:p w:rsidR="00D17B59" w:rsidRPr="0050527D" w:rsidRDefault="00D17B59">
      <w:pPr>
        <w:rPr>
          <w:b/>
        </w:rPr>
      </w:pPr>
    </w:p>
    <w:p w:rsidR="000C083E" w:rsidRDefault="000C083E"/>
    <w:p w:rsidR="00897A24" w:rsidRDefault="00897A24"/>
    <w:p w:rsidR="00897A24" w:rsidRDefault="00897A24"/>
    <w:p w:rsidR="00897A24" w:rsidRDefault="00897A24"/>
    <w:p w:rsidR="00897A24" w:rsidRDefault="00897A24"/>
    <w:p w:rsidR="00897A24" w:rsidRDefault="00897A24"/>
    <w:p w:rsidR="00897A24" w:rsidRDefault="00897A24"/>
    <w:p w:rsidR="00897A24" w:rsidRDefault="00897A24"/>
    <w:p w:rsidR="00897A24" w:rsidRDefault="00897A24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2D1C22" w:rsidRDefault="002D1C22"/>
    <w:p w:rsidR="00897A24" w:rsidRDefault="00897A24"/>
    <w:p w:rsidR="00897A24" w:rsidRDefault="00897A24" w:rsidP="00897A24">
      <w:pPr>
        <w:jc w:val="center"/>
      </w:pPr>
    </w:p>
    <w:p w:rsidR="00B73F7C" w:rsidRDefault="00B73F7C">
      <w:pPr>
        <w:sectPr w:rsidR="00B73F7C" w:rsidSect="00D93B44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B960B0" w:rsidRDefault="00B960B0"/>
    <w:p w:rsidR="00B960B0" w:rsidRDefault="00B960B0"/>
    <w:p w:rsidR="00B960B0" w:rsidRDefault="00B960B0"/>
    <w:p w:rsidR="00072EC8" w:rsidRDefault="00DA513C">
      <w:r>
        <w:softHyphen/>
      </w:r>
    </w:p>
    <w:p w:rsidR="005B5834" w:rsidRDefault="005B5834"/>
    <w:p w:rsidR="005B5834" w:rsidRDefault="005B5834"/>
    <w:p w:rsidR="005B5834" w:rsidRDefault="005B5834">
      <w:pPr>
        <w:sectPr w:rsidR="005B5834" w:rsidSect="007756C3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086510" w:rsidRDefault="00086510"/>
    <w:sectPr w:rsidR="00086510" w:rsidSect="00B73F7C"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7D" w:rsidRDefault="001A607D" w:rsidP="006C5B15">
      <w:pPr>
        <w:spacing w:after="0" w:line="240" w:lineRule="auto"/>
      </w:pPr>
      <w:r>
        <w:separator/>
      </w:r>
    </w:p>
  </w:endnote>
  <w:endnote w:type="continuationSeparator" w:id="0">
    <w:p w:rsidR="001A607D" w:rsidRDefault="001A607D" w:rsidP="006C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954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CEB" w:rsidRDefault="00D41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C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1CEB" w:rsidRDefault="00D4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7D" w:rsidRDefault="001A607D" w:rsidP="006C5B15">
      <w:pPr>
        <w:spacing w:after="0" w:line="240" w:lineRule="auto"/>
      </w:pPr>
      <w:r>
        <w:separator/>
      </w:r>
    </w:p>
  </w:footnote>
  <w:footnote w:type="continuationSeparator" w:id="0">
    <w:p w:rsidR="001A607D" w:rsidRDefault="001A607D" w:rsidP="006C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B38"/>
    <w:multiLevelType w:val="hybridMultilevel"/>
    <w:tmpl w:val="A3FEE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5F48"/>
    <w:multiLevelType w:val="hybridMultilevel"/>
    <w:tmpl w:val="287471A0"/>
    <w:lvl w:ilvl="0" w:tplc="4E708C0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105"/>
    <w:multiLevelType w:val="hybridMultilevel"/>
    <w:tmpl w:val="8F8C8444"/>
    <w:lvl w:ilvl="0" w:tplc="63C27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07A"/>
    <w:multiLevelType w:val="hybridMultilevel"/>
    <w:tmpl w:val="F6827ABA"/>
    <w:lvl w:ilvl="0" w:tplc="6D3890F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39AD"/>
    <w:multiLevelType w:val="hybridMultilevel"/>
    <w:tmpl w:val="9A10BDF0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CB7"/>
    <w:multiLevelType w:val="hybridMultilevel"/>
    <w:tmpl w:val="48AAF336"/>
    <w:lvl w:ilvl="0" w:tplc="DC10D2C4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672"/>
    <w:multiLevelType w:val="hybridMultilevel"/>
    <w:tmpl w:val="FBF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5E5E"/>
    <w:multiLevelType w:val="hybridMultilevel"/>
    <w:tmpl w:val="FDC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7F7"/>
    <w:multiLevelType w:val="hybridMultilevel"/>
    <w:tmpl w:val="D548E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16AB2"/>
    <w:multiLevelType w:val="hybridMultilevel"/>
    <w:tmpl w:val="317859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5142FE"/>
    <w:multiLevelType w:val="hybridMultilevel"/>
    <w:tmpl w:val="AECA254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4A0C90"/>
    <w:multiLevelType w:val="hybridMultilevel"/>
    <w:tmpl w:val="6F1E496E"/>
    <w:lvl w:ilvl="0" w:tplc="5ECC452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1FC1"/>
    <w:multiLevelType w:val="hybridMultilevel"/>
    <w:tmpl w:val="E848BB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6108B5"/>
    <w:multiLevelType w:val="hybridMultilevel"/>
    <w:tmpl w:val="E2D81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40597"/>
    <w:multiLevelType w:val="hybridMultilevel"/>
    <w:tmpl w:val="2166CAC8"/>
    <w:lvl w:ilvl="0" w:tplc="4E708C0A">
      <w:start w:val="1"/>
      <w:numFmt w:val="bullet"/>
      <w:lvlText w:val="-"/>
      <w:lvlJc w:val="left"/>
      <w:pPr>
        <w:ind w:left="112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7995273"/>
    <w:multiLevelType w:val="hybridMultilevel"/>
    <w:tmpl w:val="6FE06CC0"/>
    <w:lvl w:ilvl="0" w:tplc="26166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6795A"/>
    <w:multiLevelType w:val="hybridMultilevel"/>
    <w:tmpl w:val="B7189476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D0B42"/>
    <w:multiLevelType w:val="hybridMultilevel"/>
    <w:tmpl w:val="5B125672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DB7734"/>
    <w:multiLevelType w:val="hybridMultilevel"/>
    <w:tmpl w:val="068C712C"/>
    <w:lvl w:ilvl="0" w:tplc="D76853C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7785"/>
    <w:multiLevelType w:val="hybridMultilevel"/>
    <w:tmpl w:val="2DD6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311CF"/>
    <w:multiLevelType w:val="hybridMultilevel"/>
    <w:tmpl w:val="C3D40F2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5C4639"/>
    <w:multiLevelType w:val="hybridMultilevel"/>
    <w:tmpl w:val="C96E10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F24123"/>
    <w:multiLevelType w:val="hybridMultilevel"/>
    <w:tmpl w:val="C8DC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2FF2"/>
    <w:multiLevelType w:val="hybridMultilevel"/>
    <w:tmpl w:val="8C12FEE4"/>
    <w:lvl w:ilvl="0" w:tplc="CFA6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F603C"/>
    <w:multiLevelType w:val="hybridMultilevel"/>
    <w:tmpl w:val="56EE4D14"/>
    <w:lvl w:ilvl="0" w:tplc="CD04D2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55E46"/>
    <w:multiLevelType w:val="hybridMultilevel"/>
    <w:tmpl w:val="53BA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6372F"/>
    <w:multiLevelType w:val="hybridMultilevel"/>
    <w:tmpl w:val="71F40B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64A3CCE"/>
    <w:multiLevelType w:val="hybridMultilevel"/>
    <w:tmpl w:val="EC646B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806199"/>
    <w:multiLevelType w:val="hybridMultilevel"/>
    <w:tmpl w:val="70E0E024"/>
    <w:lvl w:ilvl="0" w:tplc="2CBEE7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32DFC"/>
    <w:multiLevelType w:val="hybridMultilevel"/>
    <w:tmpl w:val="FFF647CA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27008C"/>
    <w:multiLevelType w:val="hybridMultilevel"/>
    <w:tmpl w:val="AD8C7C32"/>
    <w:lvl w:ilvl="0" w:tplc="B37C0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E23F38"/>
    <w:multiLevelType w:val="hybridMultilevel"/>
    <w:tmpl w:val="CE0884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B35E1"/>
    <w:multiLevelType w:val="hybridMultilevel"/>
    <w:tmpl w:val="AB56A03E"/>
    <w:lvl w:ilvl="0" w:tplc="3420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D41A1"/>
    <w:multiLevelType w:val="hybridMultilevel"/>
    <w:tmpl w:val="3C144226"/>
    <w:lvl w:ilvl="0" w:tplc="0CF439D0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1D02D4"/>
    <w:multiLevelType w:val="hybridMultilevel"/>
    <w:tmpl w:val="3176C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B575A"/>
    <w:multiLevelType w:val="hybridMultilevel"/>
    <w:tmpl w:val="B21C634C"/>
    <w:lvl w:ilvl="0" w:tplc="4E708C0A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4E739C"/>
    <w:multiLevelType w:val="hybridMultilevel"/>
    <w:tmpl w:val="9E8AAB02"/>
    <w:lvl w:ilvl="0" w:tplc="43B04926">
      <w:start w:val="5"/>
      <w:numFmt w:val="bullet"/>
      <w:lvlText w:val="-"/>
      <w:lvlJc w:val="left"/>
      <w:pPr>
        <w:ind w:left="40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C7D42C9"/>
    <w:multiLevelType w:val="hybridMultilevel"/>
    <w:tmpl w:val="E3A492CC"/>
    <w:lvl w:ilvl="0" w:tplc="C9D46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654B78"/>
    <w:multiLevelType w:val="hybridMultilevel"/>
    <w:tmpl w:val="FAAAF228"/>
    <w:lvl w:ilvl="0" w:tplc="4E708C0A">
      <w:start w:val="1"/>
      <w:numFmt w:val="bullet"/>
      <w:lvlText w:val="-"/>
      <w:lvlJc w:val="left"/>
      <w:pPr>
        <w:ind w:left="163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9" w15:restartNumberingAfterBreak="0">
    <w:nsid w:val="71300AA9"/>
    <w:multiLevelType w:val="hybridMultilevel"/>
    <w:tmpl w:val="3D2C2E78"/>
    <w:lvl w:ilvl="0" w:tplc="FE0483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62AA2"/>
    <w:multiLevelType w:val="hybridMultilevel"/>
    <w:tmpl w:val="D03654D4"/>
    <w:lvl w:ilvl="0" w:tplc="1FB26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36C77"/>
    <w:multiLevelType w:val="hybridMultilevel"/>
    <w:tmpl w:val="A63E43A2"/>
    <w:lvl w:ilvl="0" w:tplc="C2665A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87155D3"/>
    <w:multiLevelType w:val="hybridMultilevel"/>
    <w:tmpl w:val="1798742E"/>
    <w:lvl w:ilvl="0" w:tplc="D2BCF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1353BF"/>
    <w:multiLevelType w:val="hybridMultilevel"/>
    <w:tmpl w:val="237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D3BC3"/>
    <w:multiLevelType w:val="hybridMultilevel"/>
    <w:tmpl w:val="39EED9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32"/>
  </w:num>
  <w:num w:numId="5">
    <w:abstractNumId w:val="23"/>
  </w:num>
  <w:num w:numId="6">
    <w:abstractNumId w:val="44"/>
  </w:num>
  <w:num w:numId="7">
    <w:abstractNumId w:val="12"/>
  </w:num>
  <w:num w:numId="8">
    <w:abstractNumId w:val="9"/>
  </w:num>
  <w:num w:numId="9">
    <w:abstractNumId w:val="5"/>
  </w:num>
  <w:num w:numId="10">
    <w:abstractNumId w:val="43"/>
  </w:num>
  <w:num w:numId="11">
    <w:abstractNumId w:val="2"/>
  </w:num>
  <w:num w:numId="12">
    <w:abstractNumId w:val="28"/>
  </w:num>
  <w:num w:numId="13">
    <w:abstractNumId w:val="24"/>
  </w:num>
  <w:num w:numId="14">
    <w:abstractNumId w:val="39"/>
  </w:num>
  <w:num w:numId="15">
    <w:abstractNumId w:val="40"/>
  </w:num>
  <w:num w:numId="16">
    <w:abstractNumId w:val="3"/>
  </w:num>
  <w:num w:numId="17">
    <w:abstractNumId w:val="17"/>
  </w:num>
  <w:num w:numId="18">
    <w:abstractNumId w:val="31"/>
  </w:num>
  <w:num w:numId="19">
    <w:abstractNumId w:val="37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42"/>
  </w:num>
  <w:num w:numId="25">
    <w:abstractNumId w:val="34"/>
  </w:num>
  <w:num w:numId="26">
    <w:abstractNumId w:val="21"/>
  </w:num>
  <w:num w:numId="27">
    <w:abstractNumId w:val="29"/>
  </w:num>
  <w:num w:numId="28">
    <w:abstractNumId w:val="26"/>
  </w:num>
  <w:num w:numId="29">
    <w:abstractNumId w:val="8"/>
  </w:num>
  <w:num w:numId="30">
    <w:abstractNumId w:val="20"/>
  </w:num>
  <w:num w:numId="31">
    <w:abstractNumId w:val="4"/>
  </w:num>
  <w:num w:numId="32">
    <w:abstractNumId w:val="35"/>
  </w:num>
  <w:num w:numId="33">
    <w:abstractNumId w:val="36"/>
  </w:num>
  <w:num w:numId="34">
    <w:abstractNumId w:val="14"/>
  </w:num>
  <w:num w:numId="35">
    <w:abstractNumId w:val="16"/>
  </w:num>
  <w:num w:numId="36">
    <w:abstractNumId w:val="1"/>
  </w:num>
  <w:num w:numId="37">
    <w:abstractNumId w:val="38"/>
  </w:num>
  <w:num w:numId="38">
    <w:abstractNumId w:val="6"/>
  </w:num>
  <w:num w:numId="39">
    <w:abstractNumId w:val="11"/>
  </w:num>
  <w:num w:numId="40">
    <w:abstractNumId w:val="0"/>
  </w:num>
  <w:num w:numId="41">
    <w:abstractNumId w:val="10"/>
  </w:num>
  <w:num w:numId="42">
    <w:abstractNumId w:val="7"/>
  </w:num>
  <w:num w:numId="43">
    <w:abstractNumId w:val="41"/>
  </w:num>
  <w:num w:numId="44">
    <w:abstractNumId w:val="3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C0"/>
    <w:rsid w:val="00001DB0"/>
    <w:rsid w:val="00005861"/>
    <w:rsid w:val="000066FE"/>
    <w:rsid w:val="00007A80"/>
    <w:rsid w:val="00010B41"/>
    <w:rsid w:val="000135C5"/>
    <w:rsid w:val="00015ABC"/>
    <w:rsid w:val="00021C50"/>
    <w:rsid w:val="0002569A"/>
    <w:rsid w:val="00027066"/>
    <w:rsid w:val="000333D3"/>
    <w:rsid w:val="0003612A"/>
    <w:rsid w:val="00045933"/>
    <w:rsid w:val="00045C67"/>
    <w:rsid w:val="00050385"/>
    <w:rsid w:val="00053D0E"/>
    <w:rsid w:val="0006033B"/>
    <w:rsid w:val="00072EC8"/>
    <w:rsid w:val="000733E8"/>
    <w:rsid w:val="0008044A"/>
    <w:rsid w:val="00086510"/>
    <w:rsid w:val="00092D35"/>
    <w:rsid w:val="0009354E"/>
    <w:rsid w:val="00096B0D"/>
    <w:rsid w:val="000A365A"/>
    <w:rsid w:val="000B1397"/>
    <w:rsid w:val="000C083E"/>
    <w:rsid w:val="000C21B9"/>
    <w:rsid w:val="000C4D24"/>
    <w:rsid w:val="000D1877"/>
    <w:rsid w:val="000D3528"/>
    <w:rsid w:val="000D3CEB"/>
    <w:rsid w:val="000D43BB"/>
    <w:rsid w:val="000E37AF"/>
    <w:rsid w:val="00117FC8"/>
    <w:rsid w:val="00125DBC"/>
    <w:rsid w:val="001373A1"/>
    <w:rsid w:val="001374AC"/>
    <w:rsid w:val="00147382"/>
    <w:rsid w:val="00160677"/>
    <w:rsid w:val="001628ED"/>
    <w:rsid w:val="00172284"/>
    <w:rsid w:val="00175EB2"/>
    <w:rsid w:val="0019019C"/>
    <w:rsid w:val="001A2320"/>
    <w:rsid w:val="001A607D"/>
    <w:rsid w:val="001B0894"/>
    <w:rsid w:val="001B2F6B"/>
    <w:rsid w:val="001B42B6"/>
    <w:rsid w:val="001B692F"/>
    <w:rsid w:val="001B77D7"/>
    <w:rsid w:val="001C052B"/>
    <w:rsid w:val="001C4FE6"/>
    <w:rsid w:val="001D0EB3"/>
    <w:rsid w:val="001D52F7"/>
    <w:rsid w:val="001D5E93"/>
    <w:rsid w:val="001D60DD"/>
    <w:rsid w:val="001D79B1"/>
    <w:rsid w:val="001E2721"/>
    <w:rsid w:val="001E393D"/>
    <w:rsid w:val="001F3935"/>
    <w:rsid w:val="001F6862"/>
    <w:rsid w:val="00211698"/>
    <w:rsid w:val="002259B5"/>
    <w:rsid w:val="002318A9"/>
    <w:rsid w:val="002353CF"/>
    <w:rsid w:val="002356D8"/>
    <w:rsid w:val="00247AE3"/>
    <w:rsid w:val="00252CFE"/>
    <w:rsid w:val="002642D3"/>
    <w:rsid w:val="00266A0F"/>
    <w:rsid w:val="00270620"/>
    <w:rsid w:val="002735B6"/>
    <w:rsid w:val="002740BF"/>
    <w:rsid w:val="002832CA"/>
    <w:rsid w:val="00291D8E"/>
    <w:rsid w:val="002A54A4"/>
    <w:rsid w:val="002A5F67"/>
    <w:rsid w:val="002A77D7"/>
    <w:rsid w:val="002A7DEA"/>
    <w:rsid w:val="002B02E4"/>
    <w:rsid w:val="002B5169"/>
    <w:rsid w:val="002B6B93"/>
    <w:rsid w:val="002B7088"/>
    <w:rsid w:val="002B7B33"/>
    <w:rsid w:val="002C16E3"/>
    <w:rsid w:val="002C1795"/>
    <w:rsid w:val="002C6715"/>
    <w:rsid w:val="002D1C22"/>
    <w:rsid w:val="002E1583"/>
    <w:rsid w:val="002E77E3"/>
    <w:rsid w:val="002F30FC"/>
    <w:rsid w:val="002F6FE5"/>
    <w:rsid w:val="002F7E97"/>
    <w:rsid w:val="003065FB"/>
    <w:rsid w:val="003075FB"/>
    <w:rsid w:val="003100EA"/>
    <w:rsid w:val="003117BD"/>
    <w:rsid w:val="003208DB"/>
    <w:rsid w:val="00324F52"/>
    <w:rsid w:val="00326266"/>
    <w:rsid w:val="00327CD3"/>
    <w:rsid w:val="00331B6F"/>
    <w:rsid w:val="00331D9C"/>
    <w:rsid w:val="003332A2"/>
    <w:rsid w:val="0033453D"/>
    <w:rsid w:val="00335AC8"/>
    <w:rsid w:val="00341A61"/>
    <w:rsid w:val="0034702C"/>
    <w:rsid w:val="00347EFE"/>
    <w:rsid w:val="003611D6"/>
    <w:rsid w:val="0037371E"/>
    <w:rsid w:val="0037423B"/>
    <w:rsid w:val="00381E8D"/>
    <w:rsid w:val="00384286"/>
    <w:rsid w:val="00386121"/>
    <w:rsid w:val="00392F77"/>
    <w:rsid w:val="003B59AD"/>
    <w:rsid w:val="003C1F2D"/>
    <w:rsid w:val="003C34F7"/>
    <w:rsid w:val="003C3E6F"/>
    <w:rsid w:val="003D1C13"/>
    <w:rsid w:val="003D1D2F"/>
    <w:rsid w:val="003D76D8"/>
    <w:rsid w:val="003E1830"/>
    <w:rsid w:val="003E55DE"/>
    <w:rsid w:val="003E6E6D"/>
    <w:rsid w:val="003E776F"/>
    <w:rsid w:val="003F46AE"/>
    <w:rsid w:val="00415944"/>
    <w:rsid w:val="0041601B"/>
    <w:rsid w:val="004160C0"/>
    <w:rsid w:val="00421BC6"/>
    <w:rsid w:val="00422E85"/>
    <w:rsid w:val="00425929"/>
    <w:rsid w:val="00427342"/>
    <w:rsid w:val="0043362F"/>
    <w:rsid w:val="0044212E"/>
    <w:rsid w:val="004430E5"/>
    <w:rsid w:val="00446434"/>
    <w:rsid w:val="00454F59"/>
    <w:rsid w:val="0045786E"/>
    <w:rsid w:val="0046647B"/>
    <w:rsid w:val="00476AC8"/>
    <w:rsid w:val="00491108"/>
    <w:rsid w:val="0049447C"/>
    <w:rsid w:val="00494763"/>
    <w:rsid w:val="00496D8B"/>
    <w:rsid w:val="00496ECC"/>
    <w:rsid w:val="004A1CE0"/>
    <w:rsid w:val="004A2224"/>
    <w:rsid w:val="004C6806"/>
    <w:rsid w:val="004D2FDF"/>
    <w:rsid w:val="004D49FC"/>
    <w:rsid w:val="004D5A29"/>
    <w:rsid w:val="004E0CC3"/>
    <w:rsid w:val="004E23C3"/>
    <w:rsid w:val="004E7FDE"/>
    <w:rsid w:val="004F1C5A"/>
    <w:rsid w:val="004F1EE8"/>
    <w:rsid w:val="004F375F"/>
    <w:rsid w:val="004F7FC1"/>
    <w:rsid w:val="00501337"/>
    <w:rsid w:val="0050423F"/>
    <w:rsid w:val="0050527D"/>
    <w:rsid w:val="00505E97"/>
    <w:rsid w:val="005079D9"/>
    <w:rsid w:val="0051649A"/>
    <w:rsid w:val="00520652"/>
    <w:rsid w:val="00525E2B"/>
    <w:rsid w:val="00536750"/>
    <w:rsid w:val="005405CB"/>
    <w:rsid w:val="00542271"/>
    <w:rsid w:val="00542495"/>
    <w:rsid w:val="00550DF5"/>
    <w:rsid w:val="00552560"/>
    <w:rsid w:val="005551C2"/>
    <w:rsid w:val="00581061"/>
    <w:rsid w:val="00592916"/>
    <w:rsid w:val="00593DDD"/>
    <w:rsid w:val="00595439"/>
    <w:rsid w:val="00595620"/>
    <w:rsid w:val="005A13A4"/>
    <w:rsid w:val="005B3A32"/>
    <w:rsid w:val="005B5834"/>
    <w:rsid w:val="005C128E"/>
    <w:rsid w:val="005C7551"/>
    <w:rsid w:val="005C776C"/>
    <w:rsid w:val="005D12E6"/>
    <w:rsid w:val="005E12E5"/>
    <w:rsid w:val="005E4C03"/>
    <w:rsid w:val="005F661E"/>
    <w:rsid w:val="00622225"/>
    <w:rsid w:val="00622820"/>
    <w:rsid w:val="00630184"/>
    <w:rsid w:val="00636303"/>
    <w:rsid w:val="0064112D"/>
    <w:rsid w:val="006418E2"/>
    <w:rsid w:val="006440AE"/>
    <w:rsid w:val="00645560"/>
    <w:rsid w:val="00646C71"/>
    <w:rsid w:val="00650FEF"/>
    <w:rsid w:val="0065720B"/>
    <w:rsid w:val="0066194A"/>
    <w:rsid w:val="00674DF0"/>
    <w:rsid w:val="00676D96"/>
    <w:rsid w:val="00681337"/>
    <w:rsid w:val="00686B7D"/>
    <w:rsid w:val="00686D3E"/>
    <w:rsid w:val="006A056E"/>
    <w:rsid w:val="006B28B1"/>
    <w:rsid w:val="006B5D52"/>
    <w:rsid w:val="006B6B81"/>
    <w:rsid w:val="006C05C9"/>
    <w:rsid w:val="006C0E79"/>
    <w:rsid w:val="006C1BA1"/>
    <w:rsid w:val="006C5B15"/>
    <w:rsid w:val="006C6E70"/>
    <w:rsid w:val="006D053D"/>
    <w:rsid w:val="006D1DC9"/>
    <w:rsid w:val="006F1F9A"/>
    <w:rsid w:val="006F4219"/>
    <w:rsid w:val="006F4668"/>
    <w:rsid w:val="006F5EBE"/>
    <w:rsid w:val="006F7150"/>
    <w:rsid w:val="00700604"/>
    <w:rsid w:val="00704EB9"/>
    <w:rsid w:val="007060C2"/>
    <w:rsid w:val="00707F0A"/>
    <w:rsid w:val="007216E2"/>
    <w:rsid w:val="00727A8E"/>
    <w:rsid w:val="007633B0"/>
    <w:rsid w:val="00764E59"/>
    <w:rsid w:val="00771519"/>
    <w:rsid w:val="007756C3"/>
    <w:rsid w:val="00775E2F"/>
    <w:rsid w:val="00777392"/>
    <w:rsid w:val="00777C16"/>
    <w:rsid w:val="00786DF5"/>
    <w:rsid w:val="007925BB"/>
    <w:rsid w:val="00792B20"/>
    <w:rsid w:val="00793520"/>
    <w:rsid w:val="007939CC"/>
    <w:rsid w:val="007960ED"/>
    <w:rsid w:val="007A65B9"/>
    <w:rsid w:val="007B7816"/>
    <w:rsid w:val="007D14E7"/>
    <w:rsid w:val="007D372B"/>
    <w:rsid w:val="007D77E3"/>
    <w:rsid w:val="007E1701"/>
    <w:rsid w:val="007F29FF"/>
    <w:rsid w:val="007F7858"/>
    <w:rsid w:val="00807DB8"/>
    <w:rsid w:val="008129B8"/>
    <w:rsid w:val="00813967"/>
    <w:rsid w:val="00813E4B"/>
    <w:rsid w:val="00813EF9"/>
    <w:rsid w:val="008154D1"/>
    <w:rsid w:val="008176E8"/>
    <w:rsid w:val="00824CFE"/>
    <w:rsid w:val="00825D79"/>
    <w:rsid w:val="00841B83"/>
    <w:rsid w:val="008453B1"/>
    <w:rsid w:val="00847E38"/>
    <w:rsid w:val="008525B1"/>
    <w:rsid w:val="00857978"/>
    <w:rsid w:val="00861E9D"/>
    <w:rsid w:val="008634DC"/>
    <w:rsid w:val="00866D65"/>
    <w:rsid w:val="00867FC0"/>
    <w:rsid w:val="00872346"/>
    <w:rsid w:val="00875990"/>
    <w:rsid w:val="00881F92"/>
    <w:rsid w:val="00897A24"/>
    <w:rsid w:val="008A406D"/>
    <w:rsid w:val="008C1396"/>
    <w:rsid w:val="008C4B1C"/>
    <w:rsid w:val="008D1B34"/>
    <w:rsid w:val="008E0104"/>
    <w:rsid w:val="008E2A2A"/>
    <w:rsid w:val="008E44D9"/>
    <w:rsid w:val="008F1B89"/>
    <w:rsid w:val="009021AB"/>
    <w:rsid w:val="00904417"/>
    <w:rsid w:val="00907C18"/>
    <w:rsid w:val="00916389"/>
    <w:rsid w:val="00920E88"/>
    <w:rsid w:val="009265E5"/>
    <w:rsid w:val="00931A06"/>
    <w:rsid w:val="0093315E"/>
    <w:rsid w:val="0093322D"/>
    <w:rsid w:val="00941A5D"/>
    <w:rsid w:val="00951159"/>
    <w:rsid w:val="00957BF6"/>
    <w:rsid w:val="00962281"/>
    <w:rsid w:val="009627F4"/>
    <w:rsid w:val="0096699B"/>
    <w:rsid w:val="009739F2"/>
    <w:rsid w:val="009758AC"/>
    <w:rsid w:val="00976288"/>
    <w:rsid w:val="0097756A"/>
    <w:rsid w:val="0099168E"/>
    <w:rsid w:val="009916E4"/>
    <w:rsid w:val="0099472C"/>
    <w:rsid w:val="00994CA5"/>
    <w:rsid w:val="009A2F27"/>
    <w:rsid w:val="009A5CFE"/>
    <w:rsid w:val="009B0277"/>
    <w:rsid w:val="009B0CFB"/>
    <w:rsid w:val="009B1543"/>
    <w:rsid w:val="009C00D4"/>
    <w:rsid w:val="009D0824"/>
    <w:rsid w:val="009D23D8"/>
    <w:rsid w:val="009D52A2"/>
    <w:rsid w:val="009D5434"/>
    <w:rsid w:val="009E1C38"/>
    <w:rsid w:val="009E6F66"/>
    <w:rsid w:val="009F6385"/>
    <w:rsid w:val="00A030ED"/>
    <w:rsid w:val="00A0459C"/>
    <w:rsid w:val="00A07614"/>
    <w:rsid w:val="00A14978"/>
    <w:rsid w:val="00A16DA4"/>
    <w:rsid w:val="00A16EFA"/>
    <w:rsid w:val="00A24A79"/>
    <w:rsid w:val="00A31414"/>
    <w:rsid w:val="00A41E4A"/>
    <w:rsid w:val="00A46674"/>
    <w:rsid w:val="00A507FF"/>
    <w:rsid w:val="00A62975"/>
    <w:rsid w:val="00A62CEF"/>
    <w:rsid w:val="00A62E09"/>
    <w:rsid w:val="00A637B6"/>
    <w:rsid w:val="00A743DD"/>
    <w:rsid w:val="00A74946"/>
    <w:rsid w:val="00A83A2E"/>
    <w:rsid w:val="00A86FED"/>
    <w:rsid w:val="00A878A2"/>
    <w:rsid w:val="00A92426"/>
    <w:rsid w:val="00A953EF"/>
    <w:rsid w:val="00AA1D63"/>
    <w:rsid w:val="00AB06AE"/>
    <w:rsid w:val="00AB08F8"/>
    <w:rsid w:val="00AC48C9"/>
    <w:rsid w:val="00AE5101"/>
    <w:rsid w:val="00AE5C21"/>
    <w:rsid w:val="00B06F64"/>
    <w:rsid w:val="00B16BF7"/>
    <w:rsid w:val="00B1786F"/>
    <w:rsid w:val="00B24CF4"/>
    <w:rsid w:val="00B37C10"/>
    <w:rsid w:val="00B4797E"/>
    <w:rsid w:val="00B5688B"/>
    <w:rsid w:val="00B63398"/>
    <w:rsid w:val="00B66753"/>
    <w:rsid w:val="00B67F15"/>
    <w:rsid w:val="00B70B01"/>
    <w:rsid w:val="00B7232F"/>
    <w:rsid w:val="00B731A8"/>
    <w:rsid w:val="00B73F7C"/>
    <w:rsid w:val="00B74EB4"/>
    <w:rsid w:val="00B76146"/>
    <w:rsid w:val="00B83F82"/>
    <w:rsid w:val="00B958C3"/>
    <w:rsid w:val="00B95D4E"/>
    <w:rsid w:val="00B960B0"/>
    <w:rsid w:val="00BA5D26"/>
    <w:rsid w:val="00BB2E6A"/>
    <w:rsid w:val="00BB3341"/>
    <w:rsid w:val="00BB3D15"/>
    <w:rsid w:val="00BB5FC4"/>
    <w:rsid w:val="00BC03F2"/>
    <w:rsid w:val="00BD6885"/>
    <w:rsid w:val="00BE6A4F"/>
    <w:rsid w:val="00BF3D4E"/>
    <w:rsid w:val="00BF7573"/>
    <w:rsid w:val="00BF7B2C"/>
    <w:rsid w:val="00C01F03"/>
    <w:rsid w:val="00C13B25"/>
    <w:rsid w:val="00C36787"/>
    <w:rsid w:val="00C45667"/>
    <w:rsid w:val="00C54235"/>
    <w:rsid w:val="00C549D1"/>
    <w:rsid w:val="00C55009"/>
    <w:rsid w:val="00C557E9"/>
    <w:rsid w:val="00C6440D"/>
    <w:rsid w:val="00C66AE3"/>
    <w:rsid w:val="00C673F6"/>
    <w:rsid w:val="00C67412"/>
    <w:rsid w:val="00C67F56"/>
    <w:rsid w:val="00C70ABD"/>
    <w:rsid w:val="00C764D1"/>
    <w:rsid w:val="00C77279"/>
    <w:rsid w:val="00C77A6F"/>
    <w:rsid w:val="00C8100D"/>
    <w:rsid w:val="00C8143C"/>
    <w:rsid w:val="00C85CEF"/>
    <w:rsid w:val="00C91495"/>
    <w:rsid w:val="00C91DAC"/>
    <w:rsid w:val="00C95581"/>
    <w:rsid w:val="00CA488C"/>
    <w:rsid w:val="00CA7A30"/>
    <w:rsid w:val="00CB04BD"/>
    <w:rsid w:val="00CB3057"/>
    <w:rsid w:val="00CC7206"/>
    <w:rsid w:val="00CD1473"/>
    <w:rsid w:val="00CD4F9A"/>
    <w:rsid w:val="00CE2A2E"/>
    <w:rsid w:val="00CE3CD8"/>
    <w:rsid w:val="00CF1557"/>
    <w:rsid w:val="00D12440"/>
    <w:rsid w:val="00D14337"/>
    <w:rsid w:val="00D17B59"/>
    <w:rsid w:val="00D32F6B"/>
    <w:rsid w:val="00D33538"/>
    <w:rsid w:val="00D40333"/>
    <w:rsid w:val="00D41CEB"/>
    <w:rsid w:val="00D464FA"/>
    <w:rsid w:val="00D524C0"/>
    <w:rsid w:val="00D6399F"/>
    <w:rsid w:val="00D64165"/>
    <w:rsid w:val="00D64B14"/>
    <w:rsid w:val="00D71B36"/>
    <w:rsid w:val="00D7480E"/>
    <w:rsid w:val="00D748DD"/>
    <w:rsid w:val="00D82753"/>
    <w:rsid w:val="00D93B44"/>
    <w:rsid w:val="00D9546C"/>
    <w:rsid w:val="00D9662A"/>
    <w:rsid w:val="00DA513C"/>
    <w:rsid w:val="00DA5C06"/>
    <w:rsid w:val="00DA7F38"/>
    <w:rsid w:val="00DB1A92"/>
    <w:rsid w:val="00DB7AFD"/>
    <w:rsid w:val="00DC0B7A"/>
    <w:rsid w:val="00DC6A32"/>
    <w:rsid w:val="00DD5890"/>
    <w:rsid w:val="00DE43A8"/>
    <w:rsid w:val="00DE4EA7"/>
    <w:rsid w:val="00E02257"/>
    <w:rsid w:val="00E07D0D"/>
    <w:rsid w:val="00E10B1F"/>
    <w:rsid w:val="00E11F37"/>
    <w:rsid w:val="00E1265D"/>
    <w:rsid w:val="00E13047"/>
    <w:rsid w:val="00E1445F"/>
    <w:rsid w:val="00E25470"/>
    <w:rsid w:val="00E36D6B"/>
    <w:rsid w:val="00E37D3B"/>
    <w:rsid w:val="00E66825"/>
    <w:rsid w:val="00E7585E"/>
    <w:rsid w:val="00E77B76"/>
    <w:rsid w:val="00E807BF"/>
    <w:rsid w:val="00E81484"/>
    <w:rsid w:val="00E825D9"/>
    <w:rsid w:val="00E8266F"/>
    <w:rsid w:val="00E84B04"/>
    <w:rsid w:val="00E84B3E"/>
    <w:rsid w:val="00E87356"/>
    <w:rsid w:val="00EA162D"/>
    <w:rsid w:val="00EB17BB"/>
    <w:rsid w:val="00EB35AE"/>
    <w:rsid w:val="00EB4675"/>
    <w:rsid w:val="00EC1A84"/>
    <w:rsid w:val="00EC3DDD"/>
    <w:rsid w:val="00EC541F"/>
    <w:rsid w:val="00EC6E27"/>
    <w:rsid w:val="00EC76E0"/>
    <w:rsid w:val="00ED6F43"/>
    <w:rsid w:val="00ED725E"/>
    <w:rsid w:val="00EE2992"/>
    <w:rsid w:val="00EE4739"/>
    <w:rsid w:val="00EE5506"/>
    <w:rsid w:val="00EF1AE1"/>
    <w:rsid w:val="00EF1BC2"/>
    <w:rsid w:val="00EF1D36"/>
    <w:rsid w:val="00F008EC"/>
    <w:rsid w:val="00F01400"/>
    <w:rsid w:val="00F02851"/>
    <w:rsid w:val="00F117DA"/>
    <w:rsid w:val="00F1362F"/>
    <w:rsid w:val="00F20479"/>
    <w:rsid w:val="00F3029C"/>
    <w:rsid w:val="00F46678"/>
    <w:rsid w:val="00F53361"/>
    <w:rsid w:val="00F608BD"/>
    <w:rsid w:val="00F72838"/>
    <w:rsid w:val="00F77CF4"/>
    <w:rsid w:val="00F80717"/>
    <w:rsid w:val="00F8499C"/>
    <w:rsid w:val="00F86537"/>
    <w:rsid w:val="00F86926"/>
    <w:rsid w:val="00F87D63"/>
    <w:rsid w:val="00F90403"/>
    <w:rsid w:val="00F945BB"/>
    <w:rsid w:val="00FA493C"/>
    <w:rsid w:val="00FA6FE2"/>
    <w:rsid w:val="00FB58AB"/>
    <w:rsid w:val="00FB60AD"/>
    <w:rsid w:val="00FC51CB"/>
    <w:rsid w:val="00FD09E0"/>
    <w:rsid w:val="00FD1119"/>
    <w:rsid w:val="00FD6529"/>
    <w:rsid w:val="00FE461C"/>
    <w:rsid w:val="00FF010B"/>
    <w:rsid w:val="00FF291D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2401"/>
  <w15:docId w15:val="{1FC3EEE7-389C-4A6B-95F5-998B5505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62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266"/>
    <w:rPr>
      <w:color w:val="800080"/>
      <w:u w:val="single"/>
    </w:rPr>
  </w:style>
  <w:style w:type="paragraph" w:customStyle="1" w:styleId="font5">
    <w:name w:val="font5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0"/>
      <w:szCs w:val="40"/>
    </w:rPr>
  </w:style>
  <w:style w:type="paragraph" w:customStyle="1" w:styleId="font6">
    <w:name w:val="font6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50"/>
      <w:szCs w:val="50"/>
    </w:rPr>
  </w:style>
  <w:style w:type="paragraph" w:customStyle="1" w:styleId="font7">
    <w:name w:val="font7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50"/>
      <w:szCs w:val="50"/>
    </w:rPr>
  </w:style>
  <w:style w:type="paragraph" w:customStyle="1" w:styleId="xl72">
    <w:name w:val="xl72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3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3262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32626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32626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32626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4">
    <w:name w:val="xl94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326266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32626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3262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7">
    <w:name w:val="xl107"/>
    <w:basedOn w:val="Normal"/>
    <w:rsid w:val="0032626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93B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93B44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D5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15"/>
  </w:style>
  <w:style w:type="paragraph" w:styleId="Footer">
    <w:name w:val="footer"/>
    <w:basedOn w:val="Normal"/>
    <w:link w:val="Foot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numbering" Target="numbering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>DREJTORIA PËR  BUXHET DHE FINANCA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DABEE2-78EF-4449-AFBE-51B92194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8358</TotalTime>
  <Pages>17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 NËNTËMUJOR FINANCIAR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 NËNTËMUJOR FINANCIAR</dc:title>
  <dc:subject>Për Kuvendin Komunal</dc:subject>
  <dc:creator>fikriverbani</dc:creator>
  <cp:lastModifiedBy>Bahri I. Selimi</cp:lastModifiedBy>
  <cp:revision>397</cp:revision>
  <cp:lastPrinted>2023-10-19T08:14:00Z</cp:lastPrinted>
  <dcterms:created xsi:type="dcterms:W3CDTF">2015-02-15T14:10:00Z</dcterms:created>
  <dcterms:modified xsi:type="dcterms:W3CDTF">2023-10-19T08:28:00Z</dcterms:modified>
</cp:coreProperties>
</file>